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Describe a process: lecturer manual</w:t>
      </w:r>
    </w:p>
    <w:p>
      <w:pPr>
        <w:spacing w:after="120" w:line="276"/>
      </w:pPr>
      <w:r>
        <w:t xml:space="preserve">This exercise trains describing a technical process in English. Pairs work on two laptops. One student (the hand) watches short station videos and describes them. The other (the voice) listens, takes notes and writes. There are no instructions to relay: the task is watch, describe, write. The first process is the Claus sulfur recovery plant.</w:t>
      </w:r>
    </w:p>
    <w:p>
      <w:pPr>
        <w:pStyle w:val="Heading1"/>
      </w:pPr>
      <w:r>
        <w:t xml:space="preserve">At a glance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5806"/>
        <w:gridCol w:w="2200"/>
      </w:tblGrid>
      <w:tr>
        <w:trPr>
          <w:tblHeader/>
        </w:trPr>
        <w:tc>
          <w:tcPr>
            <w:tcW w:type="dxa" w:w="2200"/>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Part</w:t>
            </w:r>
          </w:p>
        </w:tc>
        <w:tc>
          <w:tcPr>
            <w:tcW w:type="dxa" w:w="5806"/>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What students do</w:t>
            </w:r>
          </w:p>
        </w:tc>
        <w:tc>
          <w:tcPr>
            <w:tcW w:type="dxa" w:w="2200"/>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Suggested time</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 Vocabulary</w:t>
            </w:r>
          </w:p>
        </w:tc>
        <w:tc>
          <w:tcPr>
            <w:tcW w:type="dxa" w:w="58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Match 11 part names from a word box to numbers on a picture. Write what each part does.</w:t>
            </w:r>
          </w:p>
        </w:tc>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10 to 15 minutes</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2 Blind run</w:t>
            </w:r>
          </w:p>
        </w:tc>
        <w:tc>
          <w:tcPr>
            <w:tcW w:type="dxa" w:w="58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The hand watches each station once and describes it. The voice takes notes and cannot see the screen.</w:t>
            </w:r>
          </w:p>
        </w:tc>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10 to 15 minutes</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3 Write and check</w:t>
            </w:r>
          </w:p>
        </w:tc>
        <w:tc>
          <w:tcPr>
            <w:tcW w:type="dxa" w:w="58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Pairs write the complete description together and replay stations to check it.</w:t>
            </w:r>
          </w:p>
        </w:tc>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20 to 30 minutes</w:t>
            </w:r>
          </w:p>
        </w:tc>
      </w:tr>
      <w:tr>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4 Feedback</w:t>
            </w:r>
          </w:p>
        </w:tc>
        <w:tc>
          <w:tcPr>
            <w:tcW w:type="dxa" w:w="58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Groups swap descriptions and give each other feedback (in the writing app).</w:t>
            </w:r>
          </w:p>
        </w:tc>
        <w:tc>
          <w:tcPr>
            <w:tcW w:type="dxa" w:w="2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10 to 15 minutes</w:t>
            </w:r>
          </w:p>
        </w:tc>
      </w:tr>
    </w:tbl>
    <w:p>
      <w:pPr>
        <w:spacing w:after="120" w:line="276"/>
      </w:pPr>
      <w:r>
        <w:t xml:space="preserve"/>
      </w:r>
    </w:p>
    <w:p>
      <w:pPr>
        <w:spacing w:after="120" w:line="276"/>
      </w:pPr>
      <w:r>
        <w:t xml:space="preserve">Times are suggestions. Adjust them to your group and level.</w:t>
      </w:r>
    </w:p>
    <w:p>
      <w:pPr>
        <w:pStyle w:val="Heading1"/>
      </w:pPr>
      <w:r>
        <w:t xml:space="preserve">Before class</w:t>
      </w:r>
    </w:p>
    <w:p>
      <w:pPr>
        <w:pStyle w:val="ListParagraph"/>
        <w:numPr>
          <w:ilvl w:val="0"/>
          <w:numId w:val="2"/>
        </w:numPr>
        <w:spacing w:after="60"/>
      </w:pPr>
      <w:r>
        <w:t xml:space="preserve">Print or share the student vocabulary sheet (or let students use it on screen from the Part 1 link).</w:t>
      </w:r>
    </w:p>
    <w:p>
      <w:pPr>
        <w:pStyle w:val="ListParagraph"/>
        <w:numPr>
          <w:ilvl w:val="0"/>
          <w:numId w:val="2"/>
        </w:numPr>
        <w:spacing w:after="60"/>
      </w:pPr>
      <w:r>
        <w:t xml:space="preserve">Open the writing app, start a session and create the writing exercise for the day. The class code appears when you create the exercise.</w:t>
      </w:r>
    </w:p>
    <w:p>
      <w:pPr>
        <w:pStyle w:val="ListParagraph"/>
        <w:numPr>
          <w:ilvl w:val="0"/>
          <w:numId w:val="2"/>
        </w:numPr>
        <w:spacing w:after="60"/>
      </w:pPr>
      <w:r>
        <w:t xml:space="preserve">Decide the pairs. Each pair needs two laptops.</w:t>
      </w:r>
    </w:p>
    <w:p>
      <w:pPr>
        <w:pStyle w:val="ListParagraph"/>
        <w:numPr>
          <w:ilvl w:val="0"/>
          <w:numId w:val="2"/>
        </w:numPr>
        <w:spacing w:after="60"/>
      </w:pPr>
      <w:r>
        <w:t xml:space="preserve">Keep the lecturer vocabulary sheet at hand. It has the answers and sample wording for what each part does.</w:t>
      </w:r>
    </w:p>
    <w:p>
      <w:pPr>
        <w:pStyle w:val="ListParagraph"/>
        <w:numPr>
          <w:ilvl w:val="0"/>
          <w:numId w:val="2"/>
        </w:numPr>
        <w:spacing w:after="60"/>
      </w:pPr>
      <w:r>
        <w:t xml:space="preserve">Test the three links on one laptop, including joining your own session in the writing area.</w:t>
      </w:r>
    </w:p>
    <w:p>
      <w:pPr>
        <w:pStyle w:val="Heading1"/>
      </w:pPr>
      <w:r>
        <w:t xml:space="preserve">The links</w:t>
      </w:r>
    </w:p>
    <w:p>
      <w:pPr>
        <w:spacing w:after="120" w:line="276"/>
      </w:pPr>
      <w:r>
        <w:t xml:space="preserve">The site is public, so students do not need an account. Give out one link at a time, when that part starts.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0"/>
        <w:gridCol w:w="6806"/>
      </w:tblGrid>
      <w:tr>
        <w:trPr>
          <w:tblHeader/>
        </w:trPr>
        <w:tc>
          <w:tcPr>
            <w:tcW w:type="dxa" w:w="3400"/>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Part</w:t>
            </w:r>
          </w:p>
        </w:tc>
        <w:tc>
          <w:tcPr>
            <w:tcW w:type="dxa" w:w="6806"/>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Link</w:t>
            </w:r>
          </w:p>
        </w:tc>
      </w:tr>
      <w:tr>
        <w:tc>
          <w:tcPr>
            <w:tcW w:type="dxa" w:w="34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Part 1: vocabulary sheet</w:t>
            </w:r>
          </w:p>
        </w:tc>
        <w:tc>
          <w:tcPr>
            <w:tcW w:type="dxa" w:w="68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https://process-lab-eight.vercel.app/claus/#vocab</w:t>
            </w:r>
          </w:p>
        </w:tc>
      </w:tr>
      <w:tr>
        <w:tc>
          <w:tcPr>
            <w:tcW w:type="dxa" w:w="34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Part 2: watch and describe</w:t>
            </w:r>
          </w:p>
        </w:tc>
        <w:tc>
          <w:tcPr>
            <w:tcW w:type="dxa" w:w="68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https://process-lab-eight.vercel.app/claus/#blind</w:t>
            </w:r>
          </w:p>
        </w:tc>
      </w:tr>
      <w:tr>
        <w:tc>
          <w:tcPr>
            <w:tcW w:type="dxa" w:w="34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Part 3: write and check</w:t>
            </w:r>
          </w:p>
        </w:tc>
        <w:tc>
          <w:tcPr>
            <w:tcW w:type="dxa" w:w="68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https://process-lab-eight.vercel.app/claus/#review</w:t>
            </w:r>
          </w:p>
        </w:tc>
      </w:tr>
    </w:tbl>
    <w:p>
      <w:pPr>
        <w:spacing w:after="120" w:line="276"/>
      </w:pPr>
      <w:r>
        <w:t xml:space="preserve"/>
      </w:r>
    </w:p>
    <w:p>
      <w:pPr>
        <w:spacing w:after="120" w:line="276"/>
      </w:pPr>
      <w:r>
        <w:t xml:space="preserve">The Part 2 link asks students to choose a role: "I watch and describe" (the videos) or "I listen and write" (the writing area, no videos).</w:t>
      </w:r>
    </w:p>
    <w:p>
      <w:pPr>
        <w:pStyle w:val="Heading1"/>
      </w:pPr>
      <w:r>
        <w:t xml:space="preserve">Running the parts</w:t>
      </w:r>
    </w:p>
    <w:p>
      <w:pPr>
        <w:pStyle w:val="Heading2"/>
      </w:pPr>
      <w:r>
        <w:t xml:space="preserve">Part 1: vocabulary</w:t>
      </w:r>
    </w:p>
    <w:p>
      <w:pPr>
        <w:pStyle w:val="ListParagraph"/>
        <w:numPr>
          <w:ilvl w:val="0"/>
          <w:numId w:val="3"/>
        </w:numPr>
        <w:spacing w:after="60"/>
      </w:pPr>
      <w:r>
        <w:t xml:space="preserve">Students work alone or in pairs on the sheet. The names are not given in the pictures, so they have to use the word box and the station pictures.</w:t>
      </w:r>
    </w:p>
    <w:p>
      <w:pPr>
        <w:pStyle w:val="ListParagraph"/>
        <w:numPr>
          <w:ilvl w:val="0"/>
          <w:numId w:val="3"/>
        </w:numPr>
        <w:spacing w:after="60"/>
      </w:pPr>
      <w:r>
        <w:t xml:space="preserve">Check the table together. Have students say each name aloud. Accept other sensible wording for the functions.</w:t>
      </w:r>
    </w:p>
    <w:p>
      <w:pPr>
        <w:pStyle w:val="Heading2"/>
      </w:pPr>
      <w:r>
        <w:t xml:space="preserve">Part 2: blind run</w:t>
      </w:r>
    </w:p>
    <w:p>
      <w:pPr>
        <w:pStyle w:val="ListParagraph"/>
        <w:numPr>
          <w:ilvl w:val="0"/>
          <w:numId w:val="3"/>
        </w:numPr>
        <w:spacing w:after="60"/>
      </w:pPr>
      <w:r>
        <w:t xml:space="preserve">Make sure the voice does not see the hand's screen (seat them back to back or at an angle).</w:t>
      </w:r>
    </w:p>
    <w:p>
      <w:pPr>
        <w:pStyle w:val="ListParagraph"/>
        <w:numPr>
          <w:ilvl w:val="0"/>
          <w:numId w:val="3"/>
        </w:numPr>
        <w:spacing w:after="60"/>
      </w:pPr>
      <w:r>
        <w:t xml:space="preserve">Each station plays once. The page remembers which stations a student has watched, so a reload does not give a second viewing. This is an honor system, not a lock.</w:t>
      </w:r>
    </w:p>
    <w:p>
      <w:pPr>
        <w:pStyle w:val="ListParagraph"/>
        <w:numPr>
          <w:ilvl w:val="0"/>
          <w:numId w:val="3"/>
        </w:numPr>
        <w:spacing w:after="60"/>
      </w:pPr>
      <w:r>
        <w:t xml:space="preserve">Use the button "Reset stations" at the bottom of the hand's page if a student needs to start again.</w:t>
      </w:r>
    </w:p>
    <w:p>
      <w:pPr>
        <w:pStyle w:val="ListParagraph"/>
        <w:numPr>
          <w:ilvl w:val="0"/>
          <w:numId w:val="3"/>
        </w:numPr>
        <w:spacing w:after="60"/>
      </w:pPr>
      <w:r>
        <w:t xml:space="preserve">Listen in on a few pairs. Notice whether they use the Part 1 names and connectors.</w:t>
      </w:r>
    </w:p>
    <w:p>
      <w:pPr>
        <w:pStyle w:val="Heading2"/>
      </w:pPr>
      <w:r>
        <w:t xml:space="preserve">Part 3: write and check</w:t>
      </w:r>
    </w:p>
    <w:p>
      <w:pPr>
        <w:pStyle w:val="ListParagraph"/>
        <w:numPr>
          <w:ilvl w:val="0"/>
          <w:numId w:val="3"/>
        </w:numPr>
        <w:spacing w:after="60"/>
      </w:pPr>
      <w:r>
        <w:t xml:space="preserve">Both students open the Part 3 link and join the writing area with the class code and a nickname.</w:t>
      </w:r>
    </w:p>
    <w:p>
      <w:pPr>
        <w:pStyle w:val="ListParagraph"/>
        <w:numPr>
          <w:ilvl w:val="0"/>
          <w:numId w:val="3"/>
        </w:numPr>
        <w:spacing w:after="60"/>
      </w:pPr>
      <w:r>
        <w:t xml:space="preserve">Pairs write one complete description. They replay stations on the right of the screen to check it.</w:t>
      </w:r>
    </w:p>
    <w:p>
      <w:pPr>
        <w:pStyle w:val="ListParagraph"/>
        <w:numPr>
          <w:ilvl w:val="0"/>
          <w:numId w:val="3"/>
        </w:numPr>
        <w:spacing w:after="60"/>
      </w:pPr>
      <w:r>
        <w:t xml:space="preserve">You can follow all groups in the teacher view of the writing app.</w:t>
      </w:r>
    </w:p>
    <w:p>
      <w:pPr>
        <w:pStyle w:val="Heading2"/>
      </w:pPr>
      <w:r>
        <w:t xml:space="preserve">Part 4: feedback</w:t>
      </w:r>
    </w:p>
    <w:p>
      <w:pPr>
        <w:pStyle w:val="ListParagraph"/>
        <w:numPr>
          <w:ilvl w:val="0"/>
          <w:numId w:val="3"/>
        </w:numPr>
        <w:spacing w:after="60"/>
      </w:pPr>
      <w:r>
        <w:t xml:space="preserve">Use the group swap in the writing app so that groups read and comment on each other's work.</w:t>
      </w:r>
    </w:p>
    <w:p>
      <w:pPr>
        <w:pStyle w:val="Heading1"/>
      </w:pPr>
      <w:r>
        <w:t xml:space="preserve">Language focus</w:t>
      </w:r>
    </w:p>
    <w:p>
      <w:pPr>
        <w:pStyle w:val="ListParagraph"/>
        <w:numPr>
          <w:ilvl w:val="0"/>
          <w:numId w:val="3"/>
        </w:numPr>
        <w:spacing w:after="60"/>
      </w:pPr>
      <w:r>
        <w:t xml:space="preserve">Describing sequence: first, then, after that, finally.</w:t>
      </w:r>
    </w:p>
    <w:p>
      <w:pPr>
        <w:pStyle w:val="ListParagraph"/>
        <w:numPr>
          <w:ilvl w:val="0"/>
          <w:numId w:val="3"/>
        </w:numPr>
        <w:spacing w:after="60"/>
      </w:pPr>
      <w:r>
        <w:t xml:space="preserve">Process verbs and passive voice: is heated, is cooled, is burned, is separated, is released.</w:t>
      </w:r>
    </w:p>
    <w:p>
      <w:pPr>
        <w:pStyle w:val="ListParagraph"/>
        <w:numPr>
          <w:ilvl w:val="0"/>
          <w:numId w:val="3"/>
        </w:numPr>
        <w:spacing w:after="60"/>
      </w:pPr>
      <w:r>
        <w:t xml:space="preserve">Technical vocabulary for the 11 parts and their functions.</w:t>
      </w:r>
    </w:p>
    <w:p>
      <w:pPr>
        <w:pStyle w:val="Heading1"/>
      </w:pPr>
      <w:r>
        <w:t xml:space="preserve">Troubleshooting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00"/>
        <w:gridCol w:w="7006"/>
      </w:tblGrid>
      <w:tr>
        <w:trPr>
          <w:tblHeader/>
        </w:trPr>
        <w:tc>
          <w:tcPr>
            <w:tcW w:type="dxa" w:w="3200"/>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Problem</w:t>
            </w:r>
          </w:p>
        </w:tc>
        <w:tc>
          <w:tcPr>
            <w:tcW w:type="dxa" w:w="7006"/>
            <w:tcBorders>
              <w:top w:val="single" w:color="BFC3C5" w:sz="4"/>
              <w:left w:val="single" w:color="BFC3C5" w:sz="4"/>
              <w:bottom w:val="single" w:color="BFC3C5" w:sz="4"/>
              <w:right w:val="single" w:color="BFC3C5" w:sz="4"/>
            </w:tcBorders>
            <w:shd w:fill="00649C" w:color="auto" w:val="clear"/>
            <w:tcMar>
              <w:top w:type="dxa" w:w="70"/>
              <w:left w:type="dxa" w:w="110"/>
              <w:bottom w:type="dxa" w:w="70"/>
              <w:right w:type="dxa" w:w="110"/>
            </w:tcMar>
          </w:tcPr>
          <w:p>
            <w:r>
              <w:rPr>
                <w:b/>
                <w:bCs/>
                <w:color w:val="FFFFFF"/>
              </w:rPr>
              <w:t xml:space="preserve">What to do</w:t>
            </w:r>
          </w:p>
        </w:tc>
      </w:tr>
      <w:tr>
        <w:tc>
          <w:tcPr>
            <w:tcW w:type="dxa" w:w="3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Video does not start</w:t>
            </w:r>
          </w:p>
        </w:tc>
        <w:tc>
          <w:tcPr>
            <w:tcW w:type="dxa" w:w="70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Reload and click Play. Try Chrome or Safari. If the network blocks video, ask students to use a phone hotspot.</w:t>
            </w:r>
          </w:p>
        </w:tc>
      </w:tr>
      <w:tr>
        <w:tc>
          <w:tcPr>
            <w:tcW w:type="dxa" w:w="3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Writing area is empty or does not load</w:t>
            </w:r>
          </w:p>
        </w:tc>
        <w:tc>
          <w:tcPr>
            <w:tcW w:type="dxa" w:w="70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Use "Open in new tab" above it. Check the class code.</w:t>
            </w:r>
          </w:p>
        </w:tc>
      </w:tr>
      <w:tr>
        <w:tc>
          <w:tcPr>
            <w:tcW w:type="dxa" w:w="3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A student arrives late or loses the connection</w:t>
            </w:r>
          </w:p>
        </w:tc>
        <w:tc>
          <w:tcPr>
            <w:tcW w:type="dxa" w:w="70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They open the link again and enter the class code and a nickname. A student who returns on the same computer and browser is recognised and goes straight back into their group. A student on a new device, or in a private window, comes back as a new student and sees a waiting screen. On your dashboard a box called "Not in a group yet" lists them. Choose "Put in a group" next to the name, pick a group or "New group", and their writing page opens by itself. "Add all to the smallest groups" places everyone waiting at once. The other groups are not disturbed. To move a student later, use "Move" next to the name in a group. A student on a new device may appear twice (the old nickname and the new one): move the old one "out of the group".</w:t>
            </w:r>
          </w:p>
        </w:tc>
      </w:tr>
      <w:tr>
        <w:tc>
          <w:tcPr>
            <w:tcW w:type="dxa" w:w="3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A pair needs to see a station again in Part 2</w:t>
            </w:r>
          </w:p>
        </w:tc>
        <w:tc>
          <w:tcPr>
            <w:tcW w:type="dxa" w:w="70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Use "Reset stations" on the hand's page, or let them watch in Part 3.</w:t>
            </w:r>
          </w:p>
        </w:tc>
      </w:tr>
      <w:tr>
        <w:tc>
          <w:tcPr>
            <w:tcW w:type="dxa" w:w="3200"/>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Students cannot see the vocabulary sheet</w:t>
            </w:r>
          </w:p>
        </w:tc>
        <w:tc>
          <w:tcPr>
            <w:tcW w:type="dxa" w:w="7006"/>
            <w:tcBorders>
              <w:top w:val="single" w:color="BFC3C5" w:sz="4"/>
              <w:left w:val="single" w:color="BFC3C5" w:sz="4"/>
              <w:bottom w:val="single" w:color="BFC3C5" w:sz="4"/>
              <w:right w:val="single" w:color="BFC3C5" w:sz="4"/>
            </w:tcBorders>
            <w:tcMar>
              <w:top w:type="dxa" w:w="70"/>
              <w:left w:type="dxa" w:w="110"/>
              <w:bottom w:type="dxa" w:w="70"/>
              <w:right w:type="dxa" w:w="110"/>
            </w:tcMar>
          </w:tcPr>
          <w:p>
            <w:r>
              <w:t xml:space="preserve">Open the PDF with the button on the Part 1 page, or use the printed copy.</w:t>
            </w:r>
          </w:p>
        </w:tc>
      </w:tr>
    </w:tbl>
    <w:p>
      <w:pPr>
        <w:spacing w:after="120" w:line="276"/>
      </w:pPr>
      <w:r>
        <w:t xml:space="preserve"/>
      </w:r>
    </w:p>
    <w:p>
      <w:pPr>
        <w:pStyle w:val="Heading1"/>
      </w:pPr>
      <w:r>
        <w:t xml:space="preserve">Good to know</w:t>
      </w:r>
    </w:p>
    <w:p>
      <w:pPr>
        <w:pStyle w:val="ListParagraph"/>
        <w:numPr>
          <w:ilvl w:val="0"/>
          <w:numId w:val="3"/>
        </w:numPr>
        <w:spacing w:after="60"/>
      </w:pPr>
      <w:r>
        <w:t xml:space="preserve">Tested so far: the videos and the vocabulary sheet in Safari, and joining a class in the writing area inside the page. Check typing between two laptops before the first class.</w:t>
      </w:r>
    </w:p>
    <w:p>
      <w:pPr>
        <w:pStyle w:val="ListParagraph"/>
        <w:numPr>
          <w:ilvl w:val="0"/>
          <w:numId w:val="3"/>
        </w:numPr>
        <w:spacing w:after="60"/>
      </w:pPr>
      <w:r>
        <w:t xml:space="preserve">Students use nicknames. The writing app runs on Vercel and Firebase, so tell students not to enter personal details.</w:t>
      </w:r>
    </w:p>
    <w:p>
      <w:pPr>
        <w:pStyle w:val="ListParagraph"/>
        <w:numPr>
          <w:ilvl w:val="0"/>
          <w:numId w:val="3"/>
        </w:numPr>
        <w:spacing w:after="60"/>
      </w:pPr>
      <w:r>
        <w:t xml:space="preserve">More processes will be added to the same site. Each one has its own address.</w:t>
      </w:r>
    </w:p>
    <w:sectPr>
      <w:headerReference w:type="default" r:id="rId6"/>
      <w:footerReference w:type="default" r:id="rId7"/>
      <w:pgSz w:w="11906" w:h="16838" w:orient="portrait"/>
      <w:pgMar w:top="1134" w:right="851" w:bottom="1134" w:left="85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277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4"/>
      </w:tabs>
      <w:spacing w:after="120"/>
    </w:pPr>
    <w:r>
      <w:rPr>
        <w:b/>
        <w:bCs/>
        <w:color w:val="00649C"/>
        <w:sz w:val="18"/>
        <w:szCs w:val="18"/>
      </w:rPr>
      <w:t xml:space="preserve">Lecturer version</w:t>
    </w:r>
    <w:r>
      <w:t xml:space="preserve">	</w:t>
    </w:r>
    <w:r>
      <w:drawing>
        <wp:inline distT="0" distB="0" distL="0" distR="0">
          <wp:extent cx="828675" cy="438150"/>
          <wp:effectExtent t="0" r="0" b="0" l="0"/>
          <wp:docPr id="2" name="FHTW logo" descr="FH Technikum Wien logo" title="FHT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2867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abstractNum w:abstractNumId="8" w15:restartNumberingAfterBreak="0">
    <w:multiLevelType w:val="hybridMultilevel"/>
    <w:lvl w:ilvl="0" w:tentative="1">
      <w:start w:val="1"/>
      <w:numFmt w:val="decimal"/>
      <w:lvlText w:val="%1."/>
      <w:lvlJc w:val="left"/>
      <w:pPr>
        <w:ind w:left="567" w:hanging="340"/>
      </w:pPr>
    </w:lvl>
  </w:abstractNum>
  <w:abstractNum w:abstractNumId="9" w15:restartNumberingAfterBreak="0">
    <w:multiLevelType w:val="hybridMultilevel"/>
    <w:lvl w:ilvl="0" w:tentative="1">
      <w:start w:val="1"/>
      <w:numFmt w:val="decimal"/>
      <w:lvlText w:val="%1."/>
      <w:lvlJc w:val="left"/>
      <w:pPr>
        <w:ind w:left="567" w:hanging="340"/>
      </w:pPr>
    </w:lvl>
  </w:abstractNum>
  <w:abstractNum w:abstractNumId="10"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326"/>
        <w:sz w:val="22"/>
        <w:szCs w:val="22"/>
        <w:lang w:val="en-US"/>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ptos" w:cs="Aptos" w:eastAsia="Aptos" w:hAnsi="Aptos"/>
      <w:b/>
      <w:bCs/>
      <w:color w:val="00649C"/>
      <w:sz w:val="40"/>
      <w:szCs w:val="40"/>
    </w:rPr>
  </w:style>
  <w:style w:type="paragraph" w:styleId="Heading1">
    <w:name w:val="heading 1"/>
    <w:basedOn w:val="Normal"/>
    <w:next w:val="Normal"/>
    <w:qFormat/>
    <w:pPr>
      <w:keepNext/>
      <w:spacing w:after="160" w:before="360"/>
      <w:outlineLvl w:val="0"/>
    </w:pPr>
    <w:rPr>
      <w:rFonts w:ascii="Aptos" w:cs="Aptos" w:eastAsia="Aptos" w:hAnsi="Aptos"/>
      <w:b/>
      <w:bCs/>
      <w:color w:val="00649C"/>
      <w:sz w:val="32"/>
      <w:szCs w:val="32"/>
    </w:rPr>
  </w:style>
  <w:style w:type="paragraph" w:styleId="Heading2">
    <w:name w:val="heading 2"/>
    <w:basedOn w:val="Normal"/>
    <w:next w:val="Normal"/>
    <w:qFormat/>
    <w:pPr>
      <w:keepNext/>
      <w:spacing w:after="120" w:before="280"/>
      <w:outlineLvl w:val="1"/>
    </w:pPr>
    <w:rPr>
      <w:rFonts w:ascii="Aptos" w:cs="Aptos" w:eastAsia="Aptos" w:hAnsi="Aptos"/>
      <w:b/>
      <w:bCs/>
      <w:color w:val="00649C"/>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72777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fd1ec917fa849b69e5a0664046579db75333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a process: lecturer manual</dc:title>
  <dc:creator>FHTW</dc:creator>
  <cp:lastModifiedBy>Un-named</cp:lastModifiedBy>
  <cp:revision>1</cp:revision>
  <dcterms:created xsi:type="dcterms:W3CDTF">2026-10-26T11:52:31.237Z</dcterms:created>
  <dcterms:modified xsi:type="dcterms:W3CDTF">2026-10-26T11:52:31.237Z</dcterms:modified>
</cp:coreProperties>
</file>

<file path=docProps/custom.xml><?xml version="1.0" encoding="utf-8"?>
<Properties xmlns="http://schemas.openxmlformats.org/officeDocument/2006/custom-properties" xmlns:vt="http://schemas.openxmlformats.org/officeDocument/2006/docPropsVTypes"/>
</file>