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PCR exercise: one-page guide</w:t>
      </w:r>
    </w:p>
    <w:p>
      <w:pPr>
        <w:spacing w:after="120" w:line="276"/>
      </w:pPr>
      <w:r>
        <w:t xml:space="preserve">Pairs describe how the polymerase chain reaction copies DNA: watch, describe, write. B2 level, about 60 to 75 minutes. No account is needed for students or for you.</w:t>
      </w:r>
    </w:p>
    <w:p>
      <w:pPr>
        <w:pStyle w:val="Heading2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 start page (choose Biomedical Engineering or Nachhaltige Umwelt- und Bioprozesstechnik): https://process-lab-eight.vercel.app/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Exercise: https://process-lab-eight.vercel.app/pcr/  (Part 1 #vocab, Part 2 #blind, Part 3 #review)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Lecturer page (manual and clips with numbers, not linked from the student pages): https://process-lab-eight.vercel.app/pcr/lecturer-4261135db113/</w:t>
      </w:r>
    </w:p>
    <w:p>
      <w:pPr>
        <w:pStyle w:val="Heading2"/>
      </w:pPr>
      <w:r>
        <w:t xml:space="preserve">Before class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the student sheet or let students open it from Part 1. Keep the lecturer sheet (answers) at hand.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writing app, start a session and create the exercise. The class code appears there.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up pairs with two laptops. The voice must not see the hand's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the three links and typing between two laptops once.</w:t>
      </w:r>
    </w:p>
    <w:p>
      <w:pPr>
        <w:pStyle w:val="Heading2"/>
      </w:pPr>
      <w:r>
        <w:t xml:space="preserve">In class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406"/>
        <w:gridCol w:w="1700"/>
      </w:tblGrid>
      <w:tr>
        <w:trPr>
          <w:tblHeader/>
        </w:trP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Students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shd w:fill="00649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 Vocabulary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Match 11 names from the word box to the numbers and write what each part does.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10–15 min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 Blind run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hand watches six 10-second clips, each once, and describes them. The voice takes notes.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10–15 min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3 Write and check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Pairs write the full description and replay clips to check it.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20–30 min</w:t>
            </w:r>
          </w:p>
        </w:tc>
      </w:tr>
      <w:tr>
        <w:tc>
          <w:tcPr>
            <w:tcW w:type="dxa" w:w="21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4 Feedback</w:t>
            </w:r>
          </w:p>
        </w:tc>
        <w:tc>
          <w:tcPr>
            <w:tcW w:type="dxa" w:w="6406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Groups swap texts in the writing app and comment.</w:t>
            </w:r>
          </w:p>
        </w:tc>
        <w:tc>
          <w:tcPr>
            <w:tcW w:type="dxa" w:w="1700"/>
            <w:tcBorders>
              <w:top w:val="single" w:color="BFC3C5" w:sz="4"/>
              <w:left w:val="single" w:color="BFC3C5" w:sz="4"/>
              <w:bottom w:val="single" w:color="BFC3C5" w:sz="4"/>
              <w:right w:val="single" w:color="BFC3C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10–15 min</w:t>
            </w:r>
          </w:p>
        </w:tc>
      </w:tr>
    </w:tbl>
    <w:p>
      <w:pPr>
        <w:pStyle w:val="Heading2"/>
      </w:pPr>
      <w:r>
        <w:t xml:space="preserve">The six stations</w:t>
      </w:r>
    </w:p>
    <w:p>
      <w:pPr>
        <w:spacing w:after="120" w:line="276"/>
      </w:pPr>
      <w:r>
        <w:t xml:space="preserve">1 preparing the mixture · 2 loading the thermocycler · 3 denaturation, 95°C · 4 annealing, 45–60°C · 5 extension, 72°C · 6 cycles and amplification (25–40 cycles). Colors: blue = template, orange = primers, purple = polymerase, green = nucleotides and new DNA.</w:t>
      </w:r>
    </w:p>
    <w:p>
      <w:pPr>
        <w:pStyle w:val="Heading2"/>
      </w:pPr>
      <w:r>
        <w:t xml:space="preserve">Language focus and common problems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words (first, then, after that, finally); passive voice (is heated, are separated, is synthesized); verbs: bind, anneal, separate, double, amplify.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mix up primers and nucleotides, and the template and the new strand.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does not start: reload, try Chrome or Safari. Writing area empty: use Open in new tab and check the class code. A pair needs a clip again in Part 2: Reset stations on the hand's page.</w:t>
      </w:r>
    </w:p>
    <w:sectPr>
      <w:headerReference w:type="default" r:id="rId6"/>
      <w:footerReference w:type="default" r:id="rId7"/>
      <w:pgSz w:w="11906" w:h="16838" w:orient="portrait"/>
      <w:pgMar w:top="1134" w:right="851" w:bottom="1134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2777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4"/>
      </w:tabs>
      <w:spacing w:after="120"/>
    </w:pPr>
    <w:r>
      <w:rPr>
        <w:b w:val="false"/>
        <w:bCs w:val="false"/>
        <w:color w:val="72777A"/>
        <w:sz w:val="18"/>
        <w:szCs w:val="18"/>
      </w:rPr>
      <w:t xml:space="preserve">Lecturer guide</w:t>
    </w:r>
    <w:r>
      <w:t xml:space="preserve">	</w:t>
    </w:r>
    <w:r>
      <w:drawing>
        <wp:inline distT="0" distB="0" distL="0" distR="0">
          <wp:extent cx="828675" cy="438150"/>
          <wp:effectExtent t="0" r="0" b="0" l="0"/>
          <wp:docPr id="1" name="FHTW logo" descr="FH Technikum Wien logo" title="FHT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  <w:lvl w:ilvl="1" w:tentative="1">
      <w:start w:val="1"/>
      <w:numFmt w:val="bullet"/>
      <w:lvlText w:val="–"/>
      <w:lvlJc w:val="left"/>
      <w:pPr>
        <w:ind w:left="1134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326"/>
        <w:sz w:val="22"/>
        <w:szCs w:val="22"/>
        <w:lang w:val="en-US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ptos" w:cs="Aptos" w:eastAsia="Aptos" w:hAnsi="Aptos"/>
      <w:b/>
      <w:bCs/>
      <w:color w:val="00649C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ptos" w:cs="Aptos" w:eastAsia="Aptos" w:hAnsi="Aptos"/>
      <w:b/>
      <w:bCs/>
      <w:color w:val="00649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ptos" w:cs="Aptos" w:eastAsia="Aptos" w:hAnsi="Aptos"/>
      <w:b/>
      <w:bCs/>
      <w:color w:val="00649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ptos" w:cs="Aptos" w:eastAsia="Aptos" w:hAnsi="Aptos"/>
      <w:b/>
      <w:bCs/>
      <w:color w:val="72777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cfd1ec917fa849b69e5a0664046579db753336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PCR one-page guide</dc:title>
  <dc:creator>FHTW</dc:creator>
  <cp:lastModifiedBy>Un-named</cp:lastModifiedBy>
  <cp:revision>1</cp:revision>
  <dcterms:created xsi:type="dcterms:W3CDTF">2026-10-26T14:00:33.702Z</dcterms:created>
  <dcterms:modified xsi:type="dcterms:W3CDTF">2026-10-26T14:00:33.703Z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