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00"/>
      </w:pPr>
      <w:r>
        <w:rPr>
          <w:rFonts w:ascii="Calibri" w:hAnsi="Calibri"/>
          <w:b/>
          <w:color w:val="1F4E79"/>
          <w:sz w:val="34"/>
        </w:rPr>
        <w:t xml:space="preserve">AUR Natillera Contract — Vulnerability Audit Report</w:t>
      </w:r>
    </w:p>
    <w:p>
      <w:pPr>
        <w:spacing w:after="120"/>
      </w:pPr>
      <w:r>
        <w:rPr>
          <w:rFonts w:ascii="Calibri" w:hAnsi="Calibri"/>
          <w:b/>
          <w:sz w:val="22"/>
        </w:rPr>
        <w:t xml:space="preserve">Project: aur-natillera-contract</w:t>
      </w:r>
    </w:p>
    <w:p>
      <w:pPr>
        <w:spacing w:after="120"/>
      </w:pPr>
      <w:r>
        <w:rPr>
          <w:rFonts w:ascii="Calibri" w:hAnsi="Calibri"/>
          <w:sz w:val="22"/>
        </w:rPr>
        <w:t xml:space="preserve">Audited file: src/aur.sol</w:t>
      </w:r>
    </w:p>
    <w:p>
      <w:pPr>
        <w:spacing w:after="120"/>
      </w:pPr>
      <w:r>
        <w:rPr>
          <w:rFonts w:ascii="Calibri" w:hAnsi="Calibri"/>
          <w:sz w:val="22"/>
        </w:rPr>
        <w:t xml:space="preserve">Analysis date: 2026-09-11</w:t>
      </w:r>
    </w:p>
    <w:p>
      <w:pPr>
        <w:spacing w:after="120"/>
      </w:pPr>
      <w:r>
        <w:rPr>
          <w:rFonts w:ascii="Calibri" w:hAnsi="Calibri"/>
          <w:sz w:val="22"/>
        </w:rPr>
        <w:t xml:space="preserve">Tools: Slither (static analysis) + manual logic review</w:t>
      </w:r>
    </w:p>
    <w:p>
      <w:pPr>
        <w:spacing w:after="120"/>
      </w:pPr>
      <w:r>
        <w:rPr>
          <w:rFonts w:ascii="Calibri" w:hAnsi="Calibri"/>
          <w:sz w:val="22"/>
        </w:rPr>
        <w:t xml:space="preserve">Contract: on-chain P2P natillera (rotating saving mechanism, Latin American style)</w:t>
      </w:r>
    </w:p>
    <w:p>
      <w:pPr>
        <w:spacing w:after="120"/>
      </w:pPr>
      <w:r>
        <w:rPr>
          <w:rFonts w:ascii="Calibri" w:hAnsi="Calibri"/>
          <w:sz w:val="22"/>
        </w:rPr>
        <w:t xml:space="preserve"/>
      </w:r>
    </w:p>
    <w:p>
      <w:pPr>
        <w:spacing w:after="100"/>
      </w:pPr>
      <w:r>
        <w:rPr>
          <w:rFonts w:ascii="Calibri" w:hAnsi="Calibri"/>
          <w:b/>
          <w:color w:val="1F4E79"/>
          <w:sz w:val="34"/>
        </w:rPr>
        <w:t xml:space="preserve">1. Executive Summary</w:t>
      </w:r>
    </w:p>
    <w:p>
      <w:pPr>
        <w:spacing w:after="120"/>
      </w:pPr>
      <w:r>
        <w:rPr>
          <w:rFonts w:ascii="Calibri" w:hAnsi="Calibri"/>
          <w:sz w:val="22"/>
        </w:rPr>
        <w:t xml:space="preserve">The critical finding from the previous audit (AUR-01: over-counting in collected_forTurn(), which caused an underflow in reStart()) was reported and FIXED. The build and the full test suite were re-run: 68 tests, all PASSED (0 failures). Slither was re-run against the corrected code and the High-severity finding is no longer present. 4 Medium, 5 Low, and several informational/optimization findings remain. The contract is in better shape but still needs the intermediate findings resolved before being considered production-ready.</w:t>
      </w:r>
    </w:p>
    <w:p>
      <w:pPr>
        <w:spacing w:after="120"/>
      </w:pPr>
      <w:r>
        <w:rPr>
          <w:rFonts w:ascii="Calibri" w:hAnsi="Calibri"/>
          <w:sz w:val="22"/>
        </w:rPr>
        <w:t xml:space="preserve"/>
      </w:r>
    </w:p>
    <w:p>
      <w:pPr>
        <w:spacing w:after="120"/>
      </w:pPr>
      <w:r>
        <w:rPr>
          <w:rFonts w:ascii="Calibri" w:hAnsi="Calibri"/>
          <w:b/>
          <w:sz w:val="22"/>
        </w:rPr>
        <w:t xml:space="preserve">Verification status:</w:t>
      </w:r>
    </w:p>
    <w:tbl>
      <w:tblPr>
        <w:tblW w:w="9000" w:type="dxa"/>
        <w:tblBorders>
          <w:top w:val="single" w:sz="4"/>
          <w:left w:val="single" w:sz="4"/>
          <w:bottom w:val="single" w:sz="4"/>
          <w:right w:val="single" w:sz="4"/>
          <w:insideH w:val="single" w:sz="4"/>
          <w:insideV w:val="single" w:sz="4"/>
        </w:tblBorders>
      </w:tblPr>
      <w:tr>
        <w:tc>
          <w:tcPr>
            <w:shd w:val="clear" w:color="auto" w:fill="D9E2F3"/>
          </w:tcPr>
          <w:p>
            <w:pPr>
              <w:spacing w:after="20"/>
            </w:pPr>
            <w:r>
              <w:rPr>
                <w:b/>
                <w:sz w:val="18"/>
              </w:rPr>
              <w:t xml:space="preserve">Step</w:t>
            </w:r>
          </w:p>
        </w:tc>
        <w:tc>
          <w:tcPr>
            <w:shd w:val="clear" w:color="auto" w:fill="D9E2F3"/>
          </w:tcPr>
          <w:p>
            <w:pPr>
              <w:spacing w:after="20"/>
            </w:pPr>
            <w:r>
              <w:rPr>
                <w:b/>
                <w:sz w:val="18"/>
              </w:rPr>
              <w:t xml:space="preserve">Result</w:t>
            </w:r>
          </w:p>
        </w:tc>
      </w:tr>
      <w:tr>
        <w:tc>
          <w:tcPr>
            <w:shd w:val="clear" w:color="auto" w:fill="FFFFFF"/>
          </w:tcPr>
          <w:p>
            <w:pPr>
              <w:spacing w:after="20"/>
            </w:pPr>
            <w:r>
              <w:rPr>
                <w:sz w:val="18"/>
              </w:rPr>
              <w:t xml:space="preserve">forge build</w:t>
            </w:r>
          </w:p>
        </w:tc>
        <w:tc>
          <w:tcPr>
            <w:shd w:val="clear" w:color="auto" w:fill="FFFFFF"/>
          </w:tcPr>
          <w:p>
            <w:pPr>
              <w:spacing w:after="20"/>
            </w:pPr>
            <w:r>
              <w:rPr>
                <w:sz w:val="18"/>
              </w:rPr>
              <w:t xml:space="preserve">Compiles correctly (only forge-lint typecast warnings)</w:t>
            </w:r>
          </w:p>
        </w:tc>
      </w:tr>
      <w:tr>
        <w:tc>
          <w:tcPr>
            <w:shd w:val="clear" w:color="auto" w:fill="FFFFFF"/>
          </w:tcPr>
          <w:p>
            <w:pPr>
              <w:spacing w:after="20"/>
            </w:pPr>
            <w:r>
              <w:rPr>
                <w:sz w:val="18"/>
              </w:rPr>
              <w:t xml:space="preserve">forge test</w:t>
            </w:r>
          </w:p>
        </w:tc>
        <w:tc>
          <w:tcPr>
            <w:shd w:val="clear" w:color="auto" w:fill="FFFFFF"/>
          </w:tcPr>
          <w:p>
            <w:pPr>
              <w:spacing w:after="20"/>
            </w:pPr>
            <w:r>
              <w:rPr>
                <w:sz w:val="18"/>
              </w:rPr>
              <w:t xml:space="preserve">68 passed, 0 failed, 0 skipped</w:t>
            </w:r>
          </w:p>
        </w:tc>
      </w:tr>
      <w:tr>
        <w:tc>
          <w:tcPr>
            <w:shd w:val="clear" w:color="auto" w:fill="FFFFFF"/>
          </w:tcPr>
          <w:p>
            <w:pPr>
              <w:spacing w:after="20"/>
            </w:pPr>
            <w:r>
              <w:rPr>
                <w:sz w:val="18"/>
              </w:rPr>
              <w:t xml:space="preserve">Slither (post-fix)</w:t>
            </w:r>
          </w:p>
        </w:tc>
        <w:tc>
          <w:tcPr>
            <w:shd w:val="clear" w:color="auto" w:fill="FFFFFF"/>
          </w:tcPr>
          <w:p>
            <w:pPr>
              <w:spacing w:after="20"/>
            </w:pPr>
            <w:r>
              <w:rPr>
                <w:sz w:val="18"/>
              </w:rPr>
              <w:t xml:space="preserve">No High-severity findings; 4 Medium, 5 Low, rest Informational/Optimization</w:t>
            </w:r>
          </w:p>
        </w:tc>
      </w:tr>
    </w:tbl>
    <w:p/>
    <w:p>
      <w:pPr>
        <w:spacing w:after="120"/>
      </w:pPr>
      <w:r>
        <w:rPr>
          <w:rFonts w:ascii="Calibri" w:hAnsi="Calibri"/>
          <w:sz w:val="22"/>
        </w:rPr>
        <w:t xml:space="preserve"/>
      </w:r>
    </w:p>
    <w:p>
      <w:pPr>
        <w:spacing w:after="100"/>
      </w:pPr>
      <w:r>
        <w:rPr>
          <w:rFonts w:ascii="Calibri" w:hAnsi="Calibri"/>
          <w:b/>
          <w:color w:val="1F4E79"/>
          <w:sz w:val="34"/>
        </w:rPr>
        <w:t xml:space="preserve">2. Findings Summary</w:t>
      </w:r>
    </w:p>
    <w:tbl>
      <w:tblPr>
        <w:tblW w:w="9000" w:type="dxa"/>
        <w:tblBorders>
          <w:top w:val="single" w:sz="4"/>
          <w:left w:val="single" w:sz="4"/>
          <w:bottom w:val="single" w:sz="4"/>
          <w:right w:val="single" w:sz="4"/>
          <w:insideH w:val="single" w:sz="4"/>
          <w:insideV w:val="single" w:sz="4"/>
        </w:tblBorders>
      </w:tblPr>
      <w:tr>
        <w:tc>
          <w:tcPr>
            <w:shd w:val="clear" w:color="auto" w:fill="D9E2F3"/>
          </w:tcPr>
          <w:p>
            <w:pPr>
              <w:spacing w:after="20"/>
            </w:pPr>
            <w:r>
              <w:rPr>
                <w:b/>
                <w:sz w:val="18"/>
              </w:rPr>
              <w:t xml:space="preserve">ID</w:t>
            </w:r>
          </w:p>
        </w:tc>
        <w:tc>
          <w:tcPr>
            <w:shd w:val="clear" w:color="auto" w:fill="D9E2F3"/>
          </w:tcPr>
          <w:p>
            <w:pPr>
              <w:spacing w:after="20"/>
            </w:pPr>
            <w:r>
              <w:rPr>
                <w:b/>
                <w:sz w:val="18"/>
              </w:rPr>
              <w:t xml:space="preserve">Severity</w:t>
            </w:r>
          </w:p>
        </w:tc>
        <w:tc>
          <w:tcPr>
            <w:shd w:val="clear" w:color="auto" w:fill="D9E2F3"/>
          </w:tcPr>
          <w:p>
            <w:pPr>
              <w:spacing w:after="20"/>
            </w:pPr>
            <w:r>
              <w:rPr>
                <w:b/>
                <w:sz w:val="18"/>
              </w:rPr>
              <w:t xml:space="preserve">Location</w:t>
            </w:r>
          </w:p>
        </w:tc>
        <w:tc>
          <w:tcPr>
            <w:shd w:val="clear" w:color="auto" w:fill="D9E2F3"/>
          </w:tcPr>
          <w:p>
            <w:pPr>
              <w:spacing w:after="20"/>
            </w:pPr>
            <w:r>
              <w:rPr>
                <w:b/>
                <w:sz w:val="18"/>
              </w:rPr>
              <w:t xml:space="preserve">Description</w:t>
            </w:r>
          </w:p>
        </w:tc>
        <w:tc>
          <w:tcPr>
            <w:shd w:val="clear" w:color="auto" w:fill="D9E2F3"/>
          </w:tcPr>
          <w:p>
            <w:pPr>
              <w:spacing w:after="20"/>
            </w:pPr>
            <w:r>
              <w:rPr>
                <w:b/>
                <w:sz w:val="18"/>
              </w:rPr>
              <w:t xml:space="preserve">Status</w:t>
            </w:r>
          </w:p>
        </w:tc>
      </w:tr>
      <w:tr>
        <w:tc>
          <w:tcPr>
            <w:shd w:val="clear" w:color="auto" w:fill="FFFFFF"/>
          </w:tcPr>
          <w:p>
            <w:pPr>
              <w:spacing w:after="20"/>
            </w:pPr>
            <w:r>
              <w:rPr>
                <w:sz w:val="18"/>
              </w:rPr>
              <w:t xml:space="preserve">AUR-01</w:t>
            </w:r>
          </w:p>
        </w:tc>
        <w:tc>
          <w:tcPr>
            <w:shd w:val="clear" w:color="auto" w:fill="FFFFFF"/>
          </w:tcPr>
          <w:p>
            <w:pPr>
              <w:spacing w:after="20"/>
            </w:pPr>
            <w:r>
              <w:rPr>
                <w:sz w:val="18"/>
              </w:rPr>
              <w:t xml:space="preserve">— RESOLVED —</w:t>
            </w:r>
          </w:p>
        </w:tc>
        <w:tc>
          <w:tcPr>
            <w:shd w:val="clear" w:color="auto" w:fill="FFFFFF"/>
          </w:tcPr>
          <w:p>
            <w:pPr>
              <w:spacing w:after="20"/>
            </w:pPr>
            <w:r>
              <w:rPr>
                <w:sz w:val="18"/>
              </w:rPr>
              <w:t xml:space="preserve">collected_forTurn()</w:t>
            </w:r>
          </w:p>
        </w:tc>
        <w:tc>
          <w:tcPr>
            <w:shd w:val="clear" w:color="auto" w:fill="FFFFFF"/>
          </w:tcPr>
          <w:p>
            <w:pPr>
              <w:spacing w:after="20"/>
            </w:pPr>
            <w:r>
              <w:rPr>
                <w:sz w:val="18"/>
              </w:rPr>
              <w:t xml:space="preserve">Over-counting due to overlapping period ranges → underflow in reStart(). FIXED and verified with 68 tests.</w:t>
            </w:r>
          </w:p>
        </w:tc>
        <w:tc>
          <w:tcPr>
            <w:shd w:val="clear" w:color="auto" w:fill="FFFFFF"/>
          </w:tcPr>
          <w:p>
            <w:pPr>
              <w:spacing w:after="20"/>
            </w:pPr>
            <w:r>
              <w:rPr>
                <w:sz w:val="18"/>
              </w:rPr>
              <w:t xml:space="preserve">Resolved ✔</w:t>
            </w:r>
          </w:p>
        </w:tc>
      </w:tr>
      <w:tr>
        <w:tc>
          <w:tcPr>
            <w:shd w:val="clear" w:color="auto" w:fill="FFFFFF"/>
          </w:tcPr>
          <w:p>
            <w:pPr>
              <w:spacing w:after="20"/>
            </w:pPr>
            <w:r>
              <w:rPr>
                <w:sz w:val="18"/>
              </w:rPr>
              <w:t xml:space="preserve">AUR-02</w:t>
            </w:r>
          </w:p>
        </w:tc>
        <w:tc>
          <w:tcPr>
            <w:shd w:val="clear" w:color="auto" w:fill="FFFFFF"/>
          </w:tcPr>
          <w:p>
            <w:pPr>
              <w:spacing w:after="20"/>
            </w:pPr>
            <w:r>
              <w:rPr>
                <w:sz w:val="18"/>
              </w:rPr>
              <w:t xml:space="preserve">MEDIUM</w:t>
            </w:r>
          </w:p>
        </w:tc>
        <w:tc>
          <w:tcPr>
            <w:shd w:val="clear" w:color="auto" w:fill="FFFFFF"/>
          </w:tcPr>
          <w:p>
            <w:pPr>
              <w:spacing w:after="20"/>
            </w:pPr>
            <w:r>
              <w:rPr>
                <w:sz w:val="18"/>
              </w:rPr>
              <w:t xml:space="preserve">deposit_token()</w:t>
            </w:r>
          </w:p>
        </w:tc>
        <w:tc>
          <w:tcPr>
            <w:shd w:val="clear" w:color="auto" w:fill="FFFFFF"/>
          </w:tcPr>
          <w:p>
            <w:pPr>
              <w:spacing w:after="20"/>
            </w:pPr>
            <w:r>
              <w:rPr>
                <w:sz w:val="18"/>
              </w:rPr>
              <w:t xml:space="preserve">Allows depositing on any ID without validating ownership; does not verify msg.sender↔ID binding</w:t>
            </w:r>
          </w:p>
        </w:tc>
        <w:tc>
          <w:tcPr>
            <w:shd w:val="clear" w:color="auto" w:fill="FFFFFF"/>
          </w:tcPr>
          <w:p>
            <w:pPr>
              <w:spacing w:after="20"/>
            </w:pPr>
            <w:r>
              <w:rPr>
                <w:sz w:val="18"/>
              </w:rPr>
              <w:t xml:space="preserve">Confirmed</w:t>
            </w:r>
          </w:p>
        </w:tc>
      </w:tr>
      <w:tr>
        <w:tc>
          <w:tcPr>
            <w:shd w:val="clear" w:color="auto" w:fill="FFFFFF"/>
          </w:tcPr>
          <w:p>
            <w:pPr>
              <w:spacing w:after="20"/>
            </w:pPr>
            <w:r>
              <w:rPr>
                <w:sz w:val="18"/>
              </w:rPr>
              <w:t xml:space="preserve">AUR-03</w:t>
            </w:r>
          </w:p>
        </w:tc>
        <w:tc>
          <w:tcPr>
            <w:shd w:val="clear" w:color="auto" w:fill="FFFFFF"/>
          </w:tcPr>
          <w:p>
            <w:pPr>
              <w:spacing w:after="20"/>
            </w:pPr>
            <w:r>
              <w:rPr>
                <w:sz w:val="18"/>
              </w:rPr>
              <w:t xml:space="preserve">MEDIUM</w:t>
            </w:r>
          </w:p>
        </w:tc>
        <w:tc>
          <w:tcPr>
            <w:shd w:val="clear" w:color="auto" w:fill="FFFFFF"/>
          </w:tcPr>
          <w:p>
            <w:pPr>
              <w:spacing w:after="20"/>
            </w:pPr>
            <w:r>
              <w:rPr>
                <w:sz w:val="18"/>
              </w:rPr>
              <w:t xml:space="preserve">changeAmount()/changePeriods()</w:t>
            </w:r>
          </w:p>
        </w:tc>
        <w:tc>
          <w:tcPr>
            <w:shd w:val="clear" w:color="auto" w:fill="FFFFFF"/>
          </w:tcPr>
          <w:p>
            <w:pPr>
              <w:spacing w:after="20"/>
            </w:pPr>
            <w:r>
              <w:rPr>
                <w:sz w:val="18"/>
              </w:rPr>
              <w:t xml:space="preserve">Global parameters modifiable by any member, breaking economic invariants</w:t>
            </w:r>
          </w:p>
        </w:tc>
        <w:tc>
          <w:tcPr>
            <w:shd w:val="clear" w:color="auto" w:fill="FFFFFF"/>
          </w:tcPr>
          <w:p>
            <w:pPr>
              <w:spacing w:after="20"/>
            </w:pPr>
            <w:r>
              <w:rPr>
                <w:sz w:val="18"/>
              </w:rPr>
              <w:t xml:space="preserve">Confirmed</w:t>
            </w:r>
          </w:p>
        </w:tc>
      </w:tr>
      <w:tr>
        <w:tc>
          <w:tcPr>
            <w:shd w:val="clear" w:color="auto" w:fill="FFFFFF"/>
          </w:tcPr>
          <w:p>
            <w:pPr>
              <w:spacing w:after="20"/>
            </w:pPr>
            <w:r>
              <w:rPr>
                <w:sz w:val="18"/>
              </w:rPr>
              <w:t xml:space="preserve">AUR-04</w:t>
            </w:r>
          </w:p>
        </w:tc>
        <w:tc>
          <w:tcPr>
            <w:shd w:val="clear" w:color="auto" w:fill="FFFFFF"/>
          </w:tcPr>
          <w:p>
            <w:pPr>
              <w:spacing w:after="20"/>
            </w:pPr>
            <w:r>
              <w:rPr>
                <w:sz w:val="18"/>
              </w:rPr>
              <w:t xml:space="preserve">MEDIUM</w:t>
            </w:r>
          </w:p>
        </w:tc>
        <w:tc>
          <w:tcPr>
            <w:shd w:val="clear" w:color="auto" w:fill="FFFFFF"/>
          </w:tcPr>
          <w:p>
            <w:pPr>
              <w:spacing w:after="20"/>
            </w:pPr>
            <w:r>
              <w:rPr>
                <w:sz w:val="18"/>
              </w:rPr>
              <w:t xml:space="preserve">updateMember()/addMember()</w:t>
            </w:r>
          </w:p>
        </w:tc>
        <w:tc>
          <w:tcPr>
            <w:shd w:val="clear" w:color="auto" w:fill="FFFFFF"/>
          </w:tcPr>
          <w:p>
            <w:pPr>
              <w:spacing w:after="20"/>
            </w:pPr>
            <w:r>
              <w:rPr>
                <w:sz w:val="18"/>
              </w:rPr>
              <w:t xml:space="preserve">Possible ID/address collisions and unauditable membership</w:t>
            </w:r>
          </w:p>
        </w:tc>
        <w:tc>
          <w:tcPr>
            <w:shd w:val="clear" w:color="auto" w:fill="FFFFFF"/>
          </w:tcPr>
          <w:p>
            <w:pPr>
              <w:spacing w:after="20"/>
            </w:pPr>
            <w:r>
              <w:rPr>
                <w:sz w:val="18"/>
              </w:rPr>
              <w:t xml:space="preserve">Partial</w:t>
            </w:r>
          </w:p>
        </w:tc>
      </w:tr>
      <w:tr>
        <w:tc>
          <w:tcPr>
            <w:shd w:val="clear" w:color="auto" w:fill="FFFFFF"/>
          </w:tcPr>
          <w:p>
            <w:pPr>
              <w:spacing w:after="20"/>
            </w:pPr>
            <w:r>
              <w:rPr>
                <w:sz w:val="18"/>
              </w:rPr>
              <w:t xml:space="preserve">AUR-05</w:t>
            </w:r>
          </w:p>
        </w:tc>
        <w:tc>
          <w:tcPr>
            <w:shd w:val="clear" w:color="auto" w:fill="FFFFFF"/>
          </w:tcPr>
          <w:p>
            <w:pPr>
              <w:spacing w:after="20"/>
            </w:pPr>
            <w:r>
              <w:rPr>
                <w:sz w:val="18"/>
              </w:rPr>
              <w:t xml:space="preserve">MEDIUM</w:t>
            </w:r>
          </w:p>
        </w:tc>
        <w:tc>
          <w:tcPr>
            <w:shd w:val="clear" w:color="auto" w:fill="FFFFFF"/>
          </w:tcPr>
          <w:p>
            <w:pPr>
              <w:spacing w:after="20"/>
            </w:pPr>
            <w:r>
              <w:rPr>
                <w:sz w:val="18"/>
              </w:rPr>
              <w:t xml:space="preserve">Uninitialized local variables</w:t>
            </w:r>
          </w:p>
        </w:tc>
        <w:tc>
          <w:tcPr>
            <w:shd w:val="clear" w:color="auto" w:fill="FFFFFF"/>
          </w:tcPr>
          <w:p>
            <w:pPr>
              <w:spacing w:after="20"/>
            </w:pPr>
            <w:r>
              <w:rPr>
                <w:sz w:val="18"/>
              </w:rPr>
              <w:t xml:space="preserve">total_Collated, UnClaimedMoney, numberActiveMember not initialized (Slither)</w:t>
            </w:r>
          </w:p>
        </w:tc>
        <w:tc>
          <w:tcPr>
            <w:shd w:val="clear" w:color="auto" w:fill="FFFFFF"/>
          </w:tcPr>
          <w:p>
            <w:pPr>
              <w:spacing w:after="20"/>
            </w:pPr>
            <w:r>
              <w:rPr>
                <w:sz w:val="18"/>
              </w:rPr>
              <w:t xml:space="preserve">Confirmed</w:t>
            </w:r>
          </w:p>
        </w:tc>
      </w:tr>
      <w:tr>
        <w:tc>
          <w:tcPr>
            <w:shd w:val="clear" w:color="auto" w:fill="FFFFFF"/>
          </w:tcPr>
          <w:p>
            <w:pPr>
              <w:spacing w:after="20"/>
            </w:pPr>
            <w:r>
              <w:rPr>
                <w:sz w:val="18"/>
              </w:rPr>
              <w:t xml:space="preserve">AUR-06</w:t>
            </w:r>
          </w:p>
        </w:tc>
        <w:tc>
          <w:tcPr>
            <w:shd w:val="clear" w:color="auto" w:fill="FFFFFF"/>
          </w:tcPr>
          <w:p>
            <w:pPr>
              <w:spacing w:after="20"/>
            </w:pPr>
            <w:r>
              <w:rPr>
                <w:sz w:val="18"/>
              </w:rPr>
              <w:t xml:space="preserve">LOW</w:t>
            </w:r>
          </w:p>
        </w:tc>
        <w:tc>
          <w:tcPr>
            <w:shd w:val="clear" w:color="auto" w:fill="FFFFFF"/>
          </w:tcPr>
          <w:p>
            <w:pPr>
              <w:spacing w:after="20"/>
            </w:pPr>
            <w:r>
              <w:rPr>
                <w:sz w:val="18"/>
              </w:rPr>
              <w:t xml:space="preserve">period()/reStart()</w:t>
            </w:r>
          </w:p>
        </w:tc>
        <w:tc>
          <w:tcPr>
            <w:shd w:val="clear" w:color="auto" w:fill="FFFFFF"/>
          </w:tcPr>
          <w:p>
            <w:pPr>
              <w:spacing w:after="20"/>
            </w:pPr>
            <w:r>
              <w:rPr>
                <w:sz w:val="18"/>
              </w:rPr>
              <w:t xml:space="preserve">Use of block.timestamp for business logic (manipulable by validators)</w:t>
            </w:r>
          </w:p>
        </w:tc>
        <w:tc>
          <w:tcPr>
            <w:shd w:val="clear" w:color="auto" w:fill="FFFFFF"/>
          </w:tcPr>
          <w:p>
            <w:pPr>
              <w:spacing w:after="20"/>
            </w:pPr>
            <w:r>
              <w:rPr>
                <w:sz w:val="18"/>
              </w:rPr>
              <w:t xml:space="preserve">Confirmed</w:t>
            </w:r>
          </w:p>
        </w:tc>
      </w:tr>
      <w:tr>
        <w:tc>
          <w:tcPr>
            <w:shd w:val="clear" w:color="auto" w:fill="FFFFFF"/>
          </w:tcPr>
          <w:p>
            <w:pPr>
              <w:spacing w:after="20"/>
            </w:pPr>
            <w:r>
              <w:rPr>
                <w:sz w:val="18"/>
              </w:rPr>
              <w:t xml:space="preserve">AUR-07</w:t>
            </w:r>
          </w:p>
        </w:tc>
        <w:tc>
          <w:tcPr>
            <w:shd w:val="clear" w:color="auto" w:fill="FFFFFF"/>
          </w:tcPr>
          <w:p>
            <w:pPr>
              <w:spacing w:after="20"/>
            </w:pPr>
            <w:r>
              <w:rPr>
                <w:sz w:val="18"/>
              </w:rPr>
              <w:t xml:space="preserve">INFO</w:t>
            </w:r>
          </w:p>
        </w:tc>
        <w:tc>
          <w:tcPr>
            <w:shd w:val="clear" w:color="auto" w:fill="FFFFFF"/>
          </w:tcPr>
          <w:p>
            <w:pPr>
              <w:spacing w:after="20"/>
            </w:pPr>
            <w:r>
              <w:rPr>
                <w:sz w:val="18"/>
              </w:rPr>
              <w:t xml:space="preserve">General</w:t>
            </w:r>
          </w:p>
        </w:tc>
        <w:tc>
          <w:tcPr>
            <w:shd w:val="clear" w:color="auto" w:fill="FFFFFF"/>
          </w:tcPr>
          <w:p>
            <w:pPr>
              <w:spacing w:after="20"/>
            </w:pPr>
            <w:r>
              <w:rPr>
                <w:sz w:val="18"/>
              </w:rPr>
              <w:t xml:space="preserve">Naming conventions, pragma version, array length caching</w:t>
            </w:r>
          </w:p>
        </w:tc>
        <w:tc>
          <w:tcPr>
            <w:shd w:val="clear" w:color="auto" w:fill="FFFFFF"/>
          </w:tcPr>
          <w:p>
            <w:pPr>
              <w:spacing w:after="20"/>
            </w:pPr>
            <w:r>
              <w:rPr>
                <w:sz w:val="18"/>
              </w:rPr>
              <w:t xml:space="preserve">Informational</w:t>
            </w:r>
          </w:p>
        </w:tc>
      </w:tr>
    </w:tbl>
    <w:p/>
    <w:p>
      <w:pPr>
        <w:spacing w:after="120"/>
      </w:pPr>
      <w:r>
        <w:rPr>
          <w:rFonts w:ascii="Calibri" w:hAnsi="Calibri"/>
          <w:sz w:val="22"/>
        </w:rPr>
        <w:t xml:space="preserve"/>
      </w:r>
    </w:p>
    <w:p>
      <w:pPr>
        <w:spacing w:after="100"/>
      </w:pPr>
      <w:r>
        <w:rPr>
          <w:rFonts w:ascii="Calibri" w:hAnsi="Calibri"/>
          <w:b/>
          <w:color w:val="1F4E79"/>
          <w:sz w:val="34"/>
        </w:rPr>
        <w:t xml:space="preserve">3. Resolved Finding — AUR-01: Over-counting in collected_forTurn()</w:t>
      </w:r>
    </w:p>
    <w:p>
      <w:pPr>
        <w:spacing w:after="100"/>
      </w:pPr>
      <w:r>
        <w:rPr>
          <w:rFonts w:ascii="Calibri" w:hAnsi="Calibri"/>
          <w:b/>
          <w:color w:val="1F4E79"/>
          <w:sz w:val="28"/>
        </w:rPr>
        <w:t xml:space="preserve">3.1 Description</w:t>
      </w:r>
    </w:p>
    <w:p>
      <w:pPr>
        <w:spacing w:after="120"/>
      </w:pPr>
      <w:r>
        <w:rPr>
          <w:rFonts w:ascii="Calibri" w:hAnsi="Calibri"/>
          <w:sz w:val="22"/>
        </w:rPr>
        <w:t xml:space="preserve">The collected_forTurn() function miscalculated the start and end indexes of the period range assigned to each turn. Ranges overlapped between consecutive turns, so certain periods were counted more than once. This artificially inflated the total collected amount.</w:t>
      </w:r>
    </w:p>
    <w:p>
      <w:pPr>
        <w:spacing w:after="100"/>
      </w:pPr>
      <w:r>
        <w:rPr>
          <w:rFonts w:ascii="Calibri" w:hAnsi="Calibri"/>
          <w:b/>
          <w:color w:val="1F4E79"/>
          <w:sz w:val="28"/>
        </w:rPr>
        <w:t xml:space="preserve">3.2 Vulnerable code (before the fix)</w:t>
      </w:r>
    </w:p>
    <w:p>
      <w:pPr>
        <w:spacing w:after="0"/>
      </w:pPr>
      <w:r>
        <w:rPr>
          <w:rFonts w:ascii="Consolas" w:hAnsi="Consolas"/>
          <w:sz w:val="18"/>
          <w:color w:val="7F6000"/>
        </w:rPr>
        <w:t xml:space="preserve">function collected_forTurn(uint64 turn) internal view returns (uint256, uint256) {</w:t>
      </w:r>
    </w:p>
    <w:p>
      <w:pPr>
        <w:spacing w:after="0"/>
      </w:pPr>
      <w:r>
        <w:rPr>
          <w:rFonts w:ascii="Consolas" w:hAnsi="Consolas"/>
          <w:sz w:val="18"/>
          <w:color w:val="7F6000"/>
        </w:rPr>
        <w:t xml:space="preserve">    uint256 total_Collated;</w:t>
      </w:r>
    </w:p>
    <w:p>
      <w:pPr>
        <w:spacing w:after="0"/>
      </w:pPr>
      <w:r>
        <w:rPr>
          <w:rFonts w:ascii="Consolas" w:hAnsi="Consolas"/>
          <w:sz w:val="18"/>
          <w:color w:val="7F6000"/>
        </w:rPr>
        <w:t xml:space="preserve">    uint256 total_Collated_Late;</w:t>
      </w:r>
    </w:p>
    <w:p>
      <w:pPr>
        <w:spacing w:after="0"/>
      </w:pPr>
      <w:r>
        <w:rPr>
          <w:rFonts w:ascii="Consolas" w:hAnsi="Consolas"/>
          <w:sz w:val="18"/>
          <w:color w:val="7F6000"/>
        </w:rPr>
        <w:t xml:space="preserve">    int64 startIndex = ((int64(turn) * int16(s_periods_claim)) - 1) + 1;</w:t>
      </w:r>
    </w:p>
    <w:p>
      <w:pPr>
        <w:spacing w:after="0"/>
      </w:pPr>
      <w:r>
        <w:rPr>
          <w:rFonts w:ascii="Consolas" w:hAnsi="Consolas"/>
          <w:sz w:val="18"/>
          <w:color w:val="7F6000"/>
        </w:rPr>
        <w:t xml:space="preserve">    int64 endIndex = (startIndex - (int16(s_periods_claim) - 1)) - 1;  // BUG: extra '- 1'</w:t>
      </w:r>
    </w:p>
    <w:p>
      <w:pPr>
        <w:spacing w:after="0"/>
      </w:pPr>
      <w:r>
        <w:rPr>
          <w:rFonts w:ascii="Consolas" w:hAnsi="Consolas"/>
          <w:sz w:val="18"/>
          <w:color w:val="7F6000"/>
        </w:rPr>
        <w:t xml:space="preserve">    for (int64 index = startIndex; index &gt;= endIndex; index--) {</w:t>
      </w:r>
    </w:p>
    <w:p>
      <w:pPr>
        <w:spacing w:after="0"/>
      </w:pPr>
      <w:r>
        <w:rPr>
          <w:rFonts w:ascii="Consolas" w:hAnsi="Consolas"/>
          <w:sz w:val="18"/>
          <w:color w:val="7F6000"/>
        </w:rPr>
        <w:t xml:space="preserve">        total_Collated += s_amount_colleted[uint64(index)];</w:t>
      </w:r>
    </w:p>
    <w:p>
      <w:pPr>
        <w:spacing w:after="0"/>
      </w:pPr>
      <w:r>
        <w:rPr>
          <w:rFonts w:ascii="Consolas" w:hAnsi="Consolas"/>
          <w:sz w:val="18"/>
          <w:color w:val="7F6000"/>
        </w:rPr>
        <w:t xml:space="preserve">        total_Collated_Late += s_amount_late_colleted[uint64(index)];</w:t>
      </w:r>
    </w:p>
    <w:p>
      <w:pPr>
        <w:spacing w:after="0"/>
      </w:pPr>
      <w:r>
        <w:rPr>
          <w:rFonts w:ascii="Consolas" w:hAnsi="Consolas"/>
          <w:sz w:val="18"/>
          <w:color w:val="7F6000"/>
        </w:rPr>
        <w:t xml:space="preserve">    }</w:t>
      </w:r>
    </w:p>
    <w:p>
      <w:pPr>
        <w:spacing w:after="0"/>
      </w:pPr>
      <w:r>
        <w:rPr>
          <w:rFonts w:ascii="Consolas" w:hAnsi="Consolas"/>
          <w:sz w:val="18"/>
          <w:color w:val="7F6000"/>
        </w:rPr>
        <w:t xml:space="preserve">    return (total_Collated, total_Collated_Late);</w:t>
      </w:r>
    </w:p>
    <w:p>
      <w:pPr>
        <w:spacing w:after="0"/>
      </w:pPr>
      <w:r>
        <w:rPr>
          <w:rFonts w:ascii="Consolas" w:hAnsi="Consolas"/>
          <w:sz w:val="18"/>
          <w:color w:val="7F6000"/>
        </w:rPr>
        <w:t xml:space="preserve">}</w:t>
      </w:r>
    </w:p>
    <w:p>
      <w:pPr>
        <w:spacing w:after="100"/>
      </w:pPr>
      <w:r>
        <w:rPr>
          <w:rFonts w:ascii="Calibri" w:hAnsi="Calibri"/>
          <w:b/>
          <w:color w:val="1F4E79"/>
          <w:sz w:val="28"/>
        </w:rPr>
        <w:t xml:space="preserve">3.3 Impact (before the fix)</w:t>
      </w:r>
    </w:p>
    <w:p>
      <w:pPr>
        <w:spacing w:after="120"/>
      </w:pPr>
      <w:r>
        <w:rPr>
          <w:rFonts w:ascii="Calibri" w:hAnsi="Calibri"/>
          <w:sz w:val="22"/>
        </w:rPr>
        <w:t xml:space="preserve">With s_periods_claim = 3 and 3 members (9 periods), the contract receives 270 tokens. However, collected_forTurn() returned amounts summing to 330 (periods 3 and 6 were counted twice). In reStart(), the operation balanceContract - UnClaimedMoney reverted with panic 0x11 (arithmetic underflow). The test test_reStart_SecondCycleWorks reproduced it.</w:t>
      </w:r>
    </w:p>
    <w:p>
      <w:pPr>
        <w:spacing w:after="100"/>
      </w:pPr>
      <w:r>
        <w:rPr>
          <w:rFonts w:ascii="Calibri" w:hAnsi="Calibri"/>
          <w:b/>
          <w:color w:val="1F4E79"/>
          <w:sz w:val="28"/>
        </w:rPr>
        <w:t xml:space="preserve">3.4 Applied fix</w:t>
      </w:r>
    </w:p>
    <w:p>
      <w:pPr>
        <w:spacing w:after="120"/>
      </w:pPr>
      <w:r>
        <w:rPr>
          <w:rFonts w:ascii="Calibri" w:hAnsi="Calibri"/>
          <w:sz w:val="22"/>
        </w:rPr>
        <w:t xml:space="preserve">The bug was fixed in src/aur.sol by removing the extra '- 1' in the endIndex calculation:</w:t>
      </w:r>
    </w:p>
    <w:p>
      <w:pPr>
        <w:spacing w:after="0"/>
      </w:pPr>
      <w:r>
        <w:rPr>
          <w:rFonts w:ascii="Consolas" w:hAnsi="Consolas"/>
          <w:sz w:val="18"/>
          <w:color w:val="7F6000"/>
        </w:rPr>
        <w:t xml:space="preserve">// BEFORE (bug):</w:t>
      </w:r>
    </w:p>
    <w:p>
      <w:pPr>
        <w:spacing w:after="0"/>
      </w:pPr>
      <w:r>
        <w:rPr>
          <w:rFonts w:ascii="Consolas" w:hAnsi="Consolas"/>
          <w:sz w:val="18"/>
          <w:color w:val="7F6000"/>
        </w:rPr>
        <w:t xml:space="preserve">int64 endIndex = (startIndex - (int16(s_periods_claim) - 1)) - 1;</w:t>
      </w:r>
    </w:p>
    <w:p>
      <w:pPr>
        <w:spacing w:after="0"/>
      </w:pPr>
      <w:r>
        <w:rPr>
          <w:rFonts w:ascii="Consolas" w:hAnsi="Consolas"/>
          <w:sz w:val="18"/>
          <w:color w:val="7F6000"/>
        </w:rPr>
        <w:t xml:space="preserve"/>
      </w:r>
    </w:p>
    <w:p>
      <w:pPr>
        <w:spacing w:after="0"/>
      </w:pPr>
      <w:r>
        <w:rPr>
          <w:rFonts w:ascii="Consolas" w:hAnsi="Consolas"/>
          <w:sz w:val="18"/>
          <w:color w:val="7F6000"/>
        </w:rPr>
        <w:t xml:space="preserve">// AFTER (fixed):</w:t>
      </w:r>
    </w:p>
    <w:p>
      <w:pPr>
        <w:spacing w:after="0"/>
      </w:pPr>
      <w:r>
        <w:rPr>
          <w:rFonts w:ascii="Consolas" w:hAnsi="Consolas"/>
          <w:sz w:val="18"/>
          <w:color w:val="7F6000"/>
        </w:rPr>
        <w:t xml:space="preserve">int64 endIndex = (startIndex - (int16(s_periods_claim) - 1));</w:t>
      </w:r>
    </w:p>
    <w:p>
      <w:pPr>
        <w:spacing w:after="0"/>
      </w:pPr>
      <w:r>
        <w:rPr>
          <w:rFonts w:ascii="Consolas" w:hAnsi="Consolas"/>
          <w:sz w:val="18"/>
          <w:color w:val="7F6000"/>
        </w:rPr>
        <w:t xml:space="preserve"/>
      </w:r>
    </w:p>
    <w:p>
      <w:pPr>
        <w:spacing w:after="0"/>
      </w:pPr>
      <w:r>
        <w:rPr>
          <w:rFonts w:ascii="Consolas" w:hAnsi="Consolas"/>
          <w:sz w:val="18"/>
          <w:color w:val="7F6000"/>
        </w:rPr>
        <w:t xml:space="preserve">// Now the range covers exactly s_periods_claim periods, with no overlap between turns.</w:t>
      </w:r>
    </w:p>
    <w:p>
      <w:pPr>
        <w:spacing w:after="0"/>
      </w:pPr>
      <w:r>
        <w:rPr>
          <w:rFonts w:ascii="Consolas" w:hAnsi="Consolas"/>
          <w:sz w:val="18"/>
          <w:color w:val="7F6000"/>
        </w:rPr>
        <w:t xml:space="preserve">// Turn 1 -&gt; [1,2,3], Turn 2 -&gt; [4,5,6], Turn 3 -&gt; [7,8,9]</w:t>
      </w:r>
    </w:p>
    <w:p>
      <w:pPr>
        <w:spacing w:after="100"/>
      </w:pPr>
      <w:r>
        <w:rPr>
          <w:rFonts w:ascii="Calibri" w:hAnsi="Calibri"/>
          <w:b/>
          <w:color w:val="1F4E79"/>
          <w:sz w:val="28"/>
        </w:rPr>
        <w:t xml:space="preserve">3.5 Verification (post-fix)</w:t>
      </w:r>
    </w:p>
    <w:p>
      <w:pPr>
        <w:spacing w:after="120"/>
      </w:pPr>
      <w:r>
        <w:rPr>
          <w:rFonts w:ascii="Calibri" w:hAnsi="Calibri"/>
          <w:sz w:val="22"/>
        </w:rPr>
        <w:t xml:space="preserve">The reStart() log after the fix shows correct collection: turn 1 -&gt; collected=30e18 (3 periods), no duplication; UnClaimedMoney and moneyToDistribute match the balance. All 68 tests pass (0 failures), including test_reStart_SecondCycleWorks which previously failed.</w:t>
      </w:r>
    </w:p>
    <w:p>
      <w:pPr>
        <w:spacing w:after="120"/>
      </w:pPr>
      <w:r>
        <w:rPr>
          <w:rFonts w:ascii="Calibri" w:hAnsi="Calibri"/>
          <w:sz w:val="22"/>
        </w:rPr>
        <w:t xml:space="preserve"/>
      </w:r>
    </w:p>
    <w:p>
      <w:pPr>
        <w:spacing w:after="100"/>
      </w:pPr>
      <w:r>
        <w:rPr>
          <w:rFonts w:ascii="Calibri" w:hAnsi="Calibri"/>
          <w:b/>
          <w:color w:val="1F4E79"/>
          <w:sz w:val="34"/>
        </w:rPr>
        <w:t xml:space="preserve">4. Medium-Severity Findings</w:t>
      </w:r>
    </w:p>
    <w:p>
      <w:pPr>
        <w:spacing w:after="100"/>
      </w:pPr>
      <w:r>
        <w:rPr>
          <w:rFonts w:ascii="Calibri" w:hAnsi="Calibri"/>
          <w:b/>
          <w:color w:val="1F4E79"/>
          <w:sz w:val="28"/>
        </w:rPr>
        <w:t xml:space="preserve">4.1 AUR-02 — deposit_token() does not validate ID ownership</w:t>
      </w:r>
    </w:p>
    <w:p>
      <w:pPr>
        <w:spacing w:after="120"/>
      </w:pPr>
      <w:r>
        <w:rPr>
          <w:rFonts w:ascii="Calibri" w:hAnsi="Calibri"/>
          <w:sz w:val="22"/>
        </w:rPr>
        <w:t xml:space="preserve">deposit_token(uint256 id) deposits the msg.sender's funds assigning them to member id's period, but without verifying that msg.sender is actually the member with that ID. A malicious member could deposit on behalf of another member's position, corrupting the per-turn collected amounts.</w:t>
      </w:r>
    </w:p>
    <w:p>
      <w:pPr>
        <w:spacing w:after="0"/>
      </w:pPr>
      <w:r>
        <w:rPr>
          <w:rFonts w:ascii="Consolas" w:hAnsi="Consolas"/>
          <w:sz w:val="18"/>
          <w:color w:val="7F6000"/>
        </w:rPr>
        <w:t xml:space="preserve">function deposit_token(uint256 id) external Natillera_Status {</w:t>
      </w:r>
    </w:p>
    <w:p>
      <w:pPr>
        <w:spacing w:after="0"/>
      </w:pPr>
      <w:r>
        <w:rPr>
          <w:rFonts w:ascii="Consolas" w:hAnsi="Consolas"/>
          <w:sz w:val="18"/>
          <w:color w:val="7F6000"/>
        </w:rPr>
        <w:t xml:space="preserve">    MemberData storage member = s_members_id[id];</w:t>
      </w:r>
    </w:p>
    <w:p>
      <w:pPr>
        <w:spacing w:after="0"/>
      </w:pPr>
      <w:r>
        <w:rPr>
          <w:rFonts w:ascii="Consolas" w:hAnsi="Consolas"/>
          <w:sz w:val="18"/>
          <w:color w:val="7F6000"/>
        </w:rPr>
        <w:t xml:space="preserve">    if (member.addr == address(0)) { revert Wallet__SpenderNotValid(msg.sender); }</w:t>
      </w:r>
    </w:p>
    <w:p>
      <w:pPr>
        <w:spacing w:after="0"/>
      </w:pPr>
      <w:r>
        <w:rPr>
          <w:rFonts w:ascii="Consolas" w:hAnsi="Consolas"/>
          <w:sz w:val="18"/>
          <w:color w:val="7F6000"/>
        </w:rPr>
        <w:t xml:space="preserve">    // MISSING: verify that member.addr == msg.sender (or that the authorized SmartContract is calling)</w:t>
      </w:r>
    </w:p>
    <w:p>
      <w:pPr>
        <w:spacing w:after="0"/>
      </w:pPr>
      <w:r>
        <w:rPr>
          <w:rFonts w:ascii="Consolas" w:hAnsi="Consolas"/>
          <w:sz w:val="18"/>
          <w:color w:val="7F6000"/>
        </w:rPr>
        <w:t xml:space="preserve">    ...</w:t>
      </w:r>
    </w:p>
    <w:p>
      <w:pPr>
        <w:spacing w:after="100"/>
      </w:pPr>
      <w:r>
        <w:rPr>
          <w:rFonts w:ascii="Calibri" w:hAnsi="Calibri"/>
          <w:b/>
          <w:color w:val="1F4E79"/>
          <w:sz w:val="28"/>
        </w:rPr>
        <w:t xml:space="preserve">4.2 AUR-03 — Economic parameters modifiable without consensus</w:t>
      </w:r>
    </w:p>
    <w:p>
      <w:pPr>
        <w:spacing w:after="120"/>
      </w:pPr>
      <w:r>
        <w:rPr>
          <w:rFonts w:ascii="Calibri" w:hAnsi="Calibri"/>
          <w:sz w:val="22"/>
        </w:rPr>
        <w:t xml:space="preserve">changeAmount() and changePeriods() only require MEMBER_ROLE and the STARTED state. Any member can change the amount or the number of periods of the whole natillera mid-cycle, breaking the collection invariants and the per-turn calculations.</w:t>
      </w:r>
    </w:p>
    <w:p>
      <w:pPr>
        <w:spacing w:after="100"/>
      </w:pPr>
      <w:r>
        <w:rPr>
          <w:rFonts w:ascii="Calibri" w:hAnsi="Calibri"/>
          <w:b/>
          <w:color w:val="1F4E79"/>
          <w:sz w:val="28"/>
        </w:rPr>
        <w:t xml:space="preserve">4.3 AUR-04 — Membership management: collisions and access control</w:t>
      </w:r>
    </w:p>
    <w:p>
      <w:pPr>
        <w:spacing w:after="120"/>
      </w:pPr>
      <w:r>
        <w:rPr>
          <w:rFonts w:ascii="Calibri" w:hAnsi="Calibri"/>
          <w:sz w:val="22"/>
        </w:rPr>
        <w:t xml:space="preserve">addMember() and updateMember() handle IDs and addresses with collision risks and without granular access control. The constructor grants MEMBER_ROLE to the deployer, and any MEMBER role can add/remove members. DeleteMember() logic pays pending amounts to msg.sender (not necessarily the removed member) and reorders turns.</w:t>
      </w:r>
    </w:p>
    <w:p>
      <w:pPr>
        <w:spacing w:after="100"/>
      </w:pPr>
      <w:r>
        <w:rPr>
          <w:rFonts w:ascii="Calibri" w:hAnsi="Calibri"/>
          <w:b/>
          <w:color w:val="1F4E79"/>
          <w:sz w:val="28"/>
        </w:rPr>
        <w:t xml:space="preserve">4.4 AUR-05 — Uninitialized local variables (Slither)</w:t>
      </w:r>
    </w:p>
    <w:p>
      <w:pPr>
        <w:spacing w:after="120"/>
      </w:pPr>
      <w:r>
        <w:rPr>
          <w:rFonts w:ascii="Calibri" w:hAnsi="Calibri"/>
          <w:sz w:val="22"/>
        </w:rPr>
        <w:t xml:space="preserve">Slither reports local variables used before being explicitly initialized (total_Collated, total_Collated_Late, UnClaimedMoney, numberActiveMember). Although Solidity initializes them to 0, the pattern is fragile and in practice masked the over-counting of AUR-01.</w:t>
      </w:r>
    </w:p>
    <w:p>
      <w:pPr>
        <w:spacing w:after="120"/>
      </w:pPr>
      <w:r>
        <w:rPr>
          <w:rFonts w:ascii="Calibri" w:hAnsi="Calibri"/>
          <w:sz w:val="22"/>
        </w:rPr>
        <w:t xml:space="preserve"/>
      </w:r>
    </w:p>
    <w:p>
      <w:pPr>
        <w:spacing w:after="100"/>
      </w:pPr>
      <w:r>
        <w:rPr>
          <w:rFonts w:ascii="Calibri" w:hAnsi="Calibri"/>
          <w:b/>
          <w:color w:val="1F4E79"/>
          <w:sz w:val="34"/>
        </w:rPr>
        <w:t xml:space="preserve">5. Low-Severity Findings</w:t>
      </w:r>
    </w:p>
    <w:p>
      <w:pPr>
        <w:spacing w:after="100"/>
      </w:pPr>
      <w:r>
        <w:rPr>
          <w:rFonts w:ascii="Calibri" w:hAnsi="Calibri"/>
          <w:b/>
          <w:color w:val="1F4E79"/>
          <w:sz w:val="28"/>
        </w:rPr>
        <w:t xml:space="preserve">5.1 AUR-06 — Dependence on block.timestamp</w:t>
      </w:r>
    </w:p>
    <w:p>
      <w:pPr>
        <w:spacing w:after="120"/>
      </w:pPr>
      <w:r>
        <w:rPr>
          <w:rFonts w:ascii="Calibri" w:hAnsi="Calibri"/>
          <w:sz w:val="22"/>
        </w:rPr>
        <w:t xml:space="preserve">Period logic (period(), deposit, claim turn, and reStart()) depends on block.timestamp / 30 days. Validators can marginally manipulate the timestamp, advancing or delaying the claim window. With 30-day windows the practical risk is low, but business logic should anchor periods to an explicit counter.</w:t>
      </w:r>
    </w:p>
    <w:p>
      <w:pPr>
        <w:spacing w:after="120"/>
      </w:pPr>
      <w:r>
        <w:rPr>
          <w:rFonts w:ascii="Calibri" w:hAnsi="Calibri"/>
          <w:sz w:val="22"/>
        </w:rPr>
        <w:t xml:space="preserve"/>
      </w:r>
    </w:p>
    <w:p>
      <w:pPr>
        <w:spacing w:after="100"/>
      </w:pPr>
      <w:r>
        <w:rPr>
          <w:rFonts w:ascii="Calibri" w:hAnsi="Calibri"/>
          <w:b/>
          <w:color w:val="1F4E79"/>
          <w:sz w:val="34"/>
        </w:rPr>
        <w:t xml:space="preserve">6. Informational and Optimization Findings</w:t>
      </w:r>
    </w:p>
    <w:tbl>
      <w:tblPr>
        <w:tblW w:w="9000" w:type="dxa"/>
        <w:tblBorders>
          <w:top w:val="single" w:sz="4"/>
          <w:left w:val="single" w:sz="4"/>
          <w:bottom w:val="single" w:sz="4"/>
          <w:right w:val="single" w:sz="4"/>
          <w:insideH w:val="single" w:sz="4"/>
          <w:insideV w:val="single" w:sz="4"/>
        </w:tblBorders>
      </w:tblPr>
      <w:tr>
        <w:tc>
          <w:tcPr>
            <w:shd w:val="clear" w:color="auto" w:fill="D9E2F3"/>
          </w:tcPr>
          <w:p>
            <w:pPr>
              <w:spacing w:after="20"/>
            </w:pPr>
            <w:r>
              <w:rPr>
                <w:b/>
                <w:sz w:val="18"/>
              </w:rPr>
              <w:t xml:space="preserve">Category</w:t>
            </w:r>
          </w:p>
        </w:tc>
        <w:tc>
          <w:tcPr>
            <w:shd w:val="clear" w:color="auto" w:fill="D9E2F3"/>
          </w:tcPr>
          <w:p>
            <w:pPr>
              <w:spacing w:after="20"/>
            </w:pPr>
            <w:r>
              <w:rPr>
                <w:b/>
                <w:sz w:val="18"/>
              </w:rPr>
              <w:t xml:space="preserve">Detail</w:t>
            </w:r>
          </w:p>
        </w:tc>
      </w:tr>
      <w:tr>
        <w:tc>
          <w:tcPr>
            <w:shd w:val="clear" w:color="auto" w:fill="FFFFFF"/>
          </w:tcPr>
          <w:p>
            <w:pPr>
              <w:spacing w:after="20"/>
            </w:pPr>
            <w:r>
              <w:rPr>
                <w:sz w:val="18"/>
              </w:rPr>
              <w:t xml:space="preserve">Array caching</w:t>
            </w:r>
          </w:p>
        </w:tc>
        <w:tc>
          <w:tcPr>
            <w:shd w:val="clear" w:color="auto" w:fill="FFFFFF"/>
          </w:tcPr>
          <w:p>
            <w:pPr>
              <w:spacing w:after="20"/>
            </w:pPr>
            <w:r>
              <w:rPr>
                <w:sz w:val="18"/>
              </w:rPr>
              <w:t xml:space="preserve">membersId.length is read on every iteration of 5 loops (cache-array-length).</w:t>
            </w:r>
          </w:p>
        </w:tc>
      </w:tr>
      <w:tr>
        <w:tc>
          <w:tcPr>
            <w:shd w:val="clear" w:color="auto" w:fill="FFFFFF"/>
          </w:tcPr>
          <w:p>
            <w:pPr>
              <w:spacing w:after="20"/>
            </w:pPr>
            <w:r>
              <w:rPr>
                <w:sz w:val="18"/>
              </w:rPr>
              <w:t xml:space="preserve">Naming convention</w:t>
            </w:r>
          </w:p>
        </w:tc>
        <w:tc>
          <w:tcPr>
            <w:shd w:val="clear" w:color="auto" w:fill="FFFFFF"/>
          </w:tcPr>
          <w:p>
            <w:pPr>
              <w:spacing w:after="20"/>
            </w:pPr>
            <w:r>
              <w:rPr>
                <w:sz w:val="18"/>
              </w:rPr>
              <w:t xml:space="preserve">Functions/variables do not follow mixedCase (Slither naming-convention).</w:t>
            </w:r>
          </w:p>
        </w:tc>
      </w:tr>
      <w:tr>
        <w:tc>
          <w:tcPr>
            <w:shd w:val="clear" w:color="auto" w:fill="FFFFFF"/>
          </w:tcPr>
          <w:p>
            <w:pPr>
              <w:spacing w:after="20"/>
            </w:pPr>
            <w:r>
              <w:rPr>
                <w:sz w:val="18"/>
              </w:rPr>
              <w:t xml:space="preserve">Solidity version</w:t>
            </w:r>
          </w:p>
        </w:tc>
        <w:tc>
          <w:tcPr>
            <w:shd w:val="clear" w:color="auto" w:fill="FFFFFF"/>
          </w:tcPr>
          <w:p>
            <w:pPr>
              <w:spacing w:after="20"/>
            </w:pPr>
            <w:r>
              <w:rPr>
                <w:sz w:val="18"/>
              </w:rPr>
              <w:t xml:space="preserve">pragma ^0.8.25; consider pinning an exact &gt;=0.8.25 version to avoid divergence.</w:t>
            </w:r>
          </w:p>
        </w:tc>
      </w:tr>
      <w:tr>
        <w:tc>
          <w:tcPr>
            <w:shd w:val="clear" w:color="auto" w:fill="FFFFFF"/>
          </w:tcPr>
          <w:p>
            <w:pPr>
              <w:spacing w:after="20"/>
            </w:pPr>
            <w:r>
              <w:rPr>
                <w:sz w:val="18"/>
              </w:rPr>
              <w:t xml:space="preserve">Assembly</w:t>
            </w:r>
          </w:p>
        </w:tc>
        <w:tc>
          <w:tcPr>
            <w:shd w:val="clear" w:color="auto" w:fill="FFFFFF"/>
          </w:tcPr>
          <w:p>
            <w:pPr>
              <w:spacing w:after="20"/>
            </w:pPr>
            <w:r>
              <w:rPr>
                <w:sz w:val="18"/>
              </w:rPr>
              <w:t xml:space="preserve">Assembly usage in OpenZeppelin imports (StorageSlot, SafeERC20) — expected, not a vulnerability.</w:t>
            </w:r>
          </w:p>
        </w:tc>
      </w:tr>
      <w:tr>
        <w:tc>
          <w:tcPr>
            <w:shd w:val="clear" w:color="auto" w:fill="FFFFFF"/>
          </w:tcPr>
          <w:p>
            <w:pPr>
              <w:spacing w:after="20"/>
            </w:pPr>
            <w:r>
              <w:rPr>
                <w:sz w:val="18"/>
              </w:rPr>
              <w:t xml:space="preserve">console.log</w:t>
            </w:r>
          </w:p>
        </w:tc>
        <w:tc>
          <w:tcPr>
            <w:shd w:val="clear" w:color="auto" w:fill="FFFFFF"/>
          </w:tcPr>
          <w:p>
            <w:pPr>
              <w:spacing w:after="20"/>
            </w:pPr>
            <w:r>
              <w:rPr>
                <w:sz w:val="18"/>
              </w:rPr>
              <w:t xml:space="preserve">forge-std console.sol present in production; adds gas cost and exposes data.</w:t>
            </w:r>
          </w:p>
        </w:tc>
      </w:tr>
    </w:tbl>
    <w:p/>
    <w:p>
      <w:pPr>
        <w:spacing w:after="120"/>
      </w:pPr>
      <w:r>
        <w:rPr>
          <w:rFonts w:ascii="Calibri" w:hAnsi="Calibri"/>
          <w:sz w:val="22"/>
        </w:rPr>
        <w:t xml:space="preserve"/>
      </w:r>
    </w:p>
    <w:p>
      <w:pPr>
        <w:spacing w:after="100"/>
      </w:pPr>
      <w:r>
        <w:rPr>
          <w:rFonts w:ascii="Calibri" w:hAnsi="Calibri"/>
          <w:b/>
          <w:color w:val="1F4E79"/>
          <w:sz w:val="34"/>
        </w:rPr>
        <w:t xml:space="preserve">7. Conclusion and Recommendations</w:t>
      </w:r>
    </w:p>
    <w:p>
      <w:pPr>
        <w:spacing w:after="120"/>
      </w:pPr>
      <w:r>
        <w:rPr>
          <w:rFonts w:ascii="Calibri" w:hAnsi="Calibri"/>
          <w:sz w:val="22"/>
        </w:rPr>
        <w:t xml:space="preserve">The contract is not yet production-ready. The High severity AUR-01 blocked a core flow (reStart()) and has been fixed by adjusting collected_forTurn() to use non-overlapping ranges. The Medium findings remain to be addressed.</w:t>
      </w:r>
    </w:p>
    <w:p>
      <w:pPr>
        <w:spacing w:after="120"/>
      </w:pPr>
      <w:r>
        <w:rPr>
          <w:rFonts w:ascii="Calibri" w:hAnsi="Calibri"/>
          <w:sz w:val="22"/>
        </w:rPr>
        <w:t xml:space="preserve">Prioritized recommendations:</w:t>
      </w:r>
    </w:p>
    <w:p>
      <w:pPr>
        <w:spacing w:after="60"/>
      </w:pPr>
      <w:r>
        <w:rPr>
          <w:rFonts w:ascii="Calibri" w:hAnsi="Calibri"/>
          <w:sz w:val="22"/>
        </w:rPr>
        <w:t xml:space="preserve">1. Deprecated: the range calculation fix in collected_forTurn() and clean_colleted_money() (AUR-01) — already applied.</w:t>
      </w:r>
    </w:p>
    <w:p>
      <w:pPr>
        <w:spacing w:after="60"/>
      </w:pPr>
      <w:r>
        <w:rPr>
          <w:rFonts w:ascii="Calibri" w:hAnsi="Calibri"/>
          <w:sz w:val="22"/>
        </w:rPr>
        <w:t xml:space="preserve">2. Add identity validation in deposit_token() (AUR-02).</w:t>
      </w:r>
    </w:p>
    <w:p>
      <w:pPr>
        <w:spacing w:after="60"/>
      </w:pPr>
      <w:r>
        <w:rPr>
          <w:rFonts w:ascii="Calibri" w:hAnsi="Calibri"/>
          <w:sz w:val="22"/>
        </w:rPr>
        <w:t xml:space="preserve">3. Restrict changeAmount()/changePeriods() to consensus or a dedicated admin role (AUR-03).</w:t>
      </w:r>
    </w:p>
    <w:p>
      <w:pPr>
        <w:spacing w:after="60"/>
      </w:pPr>
      <w:r>
        <w:rPr>
          <w:rFonts w:ascii="Calibri" w:hAnsi="Calibri"/>
          <w:sz w:val="22"/>
        </w:rPr>
        <w:t xml:space="preserve">4. Harden membership access control and validate that DeleteMember() pays the correct member (AUR-04).</w:t>
      </w:r>
    </w:p>
    <w:p>
      <w:pPr>
        <w:spacing w:after="60"/>
      </w:pPr>
      <w:r>
        <w:rPr>
          <w:rFonts w:ascii="Calibri" w:hAnsi="Calibri"/>
          <w:sz w:val="22"/>
        </w:rPr>
        <w:t xml:space="preserve">5. Explicitly initialize local variables and remove console.log from production (AUR-05).</w:t>
      </w:r>
    </w:p>
    <w:p>
      <w:pPr>
        <w:spacing w:after="60"/>
      </w:pPr>
      <w:r>
        <w:rPr>
          <w:rFonts w:ascii="Calibri" w:hAnsi="Calibri"/>
          <w:sz w:val="22"/>
        </w:rPr>
        <w:t xml:space="preserve">6. Consider replacing block.timestamp with a managed period counter (AUR-06).</w:t>
      </w:r>
    </w:p>
    <w:p>
      <w:pPr>
        <w:spacing w:after="120"/>
      </w:pPr>
      <w:r>
        <w:rPr>
          <w:rFonts w:ascii="Calibri" w:hAnsi="Calibri"/>
          <w:sz w:val="22"/>
        </w:rPr>
        <w:t xml:space="preserve"/>
      </w:r>
    </w:p>
    <w:p>
      <w:pPr>
        <w:spacing w:after="120"/>
      </w:pPr>
      <w:r>
        <w:rPr>
          <w:rFonts w:ascii="Calibri" w:hAnsi="Calibri"/>
          <w:b/>
          <w:sz w:val="22"/>
        </w:rPr>
        <w:t xml:space="preserve">— End of report —</w:t>
      </w:r>
    </w:p>
    <w:sectPr>
      <w:pgSz w:w="12240" w:h="15840"/>
      <w:pgMar w:top="1134" w:right="1134" w:bottom="1134" w:left="1134"/>
    </w:sectPr>
  </w:body>
</w:document>
</file>