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Devreye Alma (Start-up) ve Set-up Doğrulama Prosedürü</w:t>
      </w:r>
    </w:p>
    <w:p>
      <w:pPr>
        <w:pStyle w:val="Heading1"/>
      </w:pPr>
      <w:r>
        <w:t>1 Amaç ve kapsam</w:t>
      </w:r>
    </w:p>
    <w:p>
      <w:r>
        <w:t>Üretimin başlaması veya yeniden başlamasında istasyonun, ayarın, malzemenin, hata önleme sistemlerinin ve ilk parçanın uygunluğunu doğrulamak; onay öncesinde üretilen parçaların serbest ürünle karışmasını önlemek. Prosedür, otomotiv camı ve yalıtımlı cam üretimindeki uygulanabilir üretim ve kontrol istasyonlarını kapsar.</w:t>
      </w:r>
    </w:p>
    <w:p>
      <w:r>
        <w:t>İstasyonun ayrıntılı kontrol adımları, parametreleri, toleransları, numune miktarı ve tetikleyicileri güncel kontrol planı, iş talimatı, teknik resim/PIS ve onaylı reçeteyle belirlenir. Bu prosedür teknik limit oluşturmaz; ürüne uygulanmayan işlem ayrıca gerekçelendirilir.</w:t>
      </w:r>
    </w:p>
    <w:p>
      <w:pPr>
        <w:pStyle w:val="Heading1"/>
      </w:pPr>
      <w:r>
        <w:t>2 Görev ve yetkiler</w:t>
      </w:r>
    </w:p>
    <w:tbl>
      <w:tblPr>
        <w:tblStyle w:val="LightShading-Accent1"/>
        <w:tblW w:type="auto" w:w="0"/>
        <w:tblLayout w:type="fixed"/>
        <w:tblLook w:firstColumn="1" w:firstRow="1" w:lastColumn="0" w:lastRow="0" w:noHBand="0" w:noVBand="1" w:val="04A0"/>
      </w:tblPr>
      <w:tblGrid>
        <w:gridCol w:w="2160"/>
        <w:gridCol w:w="6480"/>
      </w:tblGrid>
      <w:tr>
        <w:trPr>
          <w:cantSplit/>
          <w:tblHeader/>
        </w:trPr>
        <w:tc>
          <w:tcPr>
            <w:tcW w:type="dxa" w:w="2160"/>
          </w:tcPr>
          <w:p>
            <w:r>
              <w:rPr>
                <w:sz w:val="18"/>
              </w:rPr>
              <w:t>Görev</w:t>
            </w:r>
          </w:p>
        </w:tc>
        <w:tc>
          <w:tcPr>
            <w:tcW w:type="dxa" w:w="6480"/>
          </w:tcPr>
          <w:p>
            <w:r>
              <w:rPr>
                <w:sz w:val="18"/>
              </w:rPr>
              <w:t>Uygulama ve karar sorumluluğu</w:t>
            </w:r>
          </w:p>
        </w:tc>
      </w:tr>
      <w:tr>
        <w:trPr>
          <w:cantSplit/>
        </w:trPr>
        <w:tc>
          <w:tcPr>
            <w:tcW w:type="dxa" w:w="2160"/>
          </w:tcPr>
          <w:p>
            <w:r>
              <w:rPr>
                <w:sz w:val="18"/>
              </w:rPr>
              <w:t>Operatör / yetkili ayarcı</w:t>
            </w:r>
          </w:p>
        </w:tc>
        <w:tc>
          <w:tcPr>
            <w:tcW w:type="dxa" w:w="6480"/>
          </w:tcPr>
          <w:p>
            <w:r>
              <w:rPr>
                <w:sz w:val="18"/>
              </w:rPr>
              <w:t>Güncel iş emrini ve istasyon standardını doğrular; güvenli ayarı ve kontrolleri yapar, gerçek bulguları kaydeder. Belirsizlikte veya NOK sonucunda işi durdurur ve bildirir.</w:t>
            </w:r>
          </w:p>
        </w:tc>
      </w:tr>
      <w:tr>
        <w:trPr>
          <w:cantSplit/>
        </w:trPr>
        <w:tc>
          <w:tcPr>
            <w:tcW w:type="dxa" w:w="2160"/>
          </w:tcPr>
          <w:p>
            <w:r>
              <w:rPr>
                <w:sz w:val="18"/>
              </w:rPr>
              <w:t>Vardiya / üretim sorumlusu</w:t>
            </w:r>
          </w:p>
        </w:tc>
        <w:tc>
          <w:tcPr>
            <w:tcW w:type="dxa" w:w="6480"/>
          </w:tcPr>
          <w:p>
            <w:r>
              <w:rPr>
                <w:sz w:val="18"/>
              </w:rPr>
              <w:t>Başlatma olayını ve sorumluyu belirler; kayıt, parça ayrımı ve istasyon durumunu izler. Gerekli doğrulamalar tamamlanmadan seri üretim/transfer izni vermez.</w:t>
            </w:r>
          </w:p>
        </w:tc>
      </w:tr>
      <w:tr>
        <w:trPr>
          <w:cantSplit/>
        </w:trPr>
        <w:tc>
          <w:tcPr>
            <w:tcW w:type="dxa" w:w="2160"/>
          </w:tcPr>
          <w:p>
            <w:r>
              <w:rPr>
                <w:sz w:val="18"/>
              </w:rPr>
              <w:t>Kontrol planında yetkilendirilmiş doğrulayıcı / Kalite</w:t>
            </w:r>
          </w:p>
        </w:tc>
        <w:tc>
          <w:tcPr>
            <w:tcW w:type="dxa" w:w="6480"/>
          </w:tcPr>
          <w:p>
            <w:r>
              <w:rPr>
                <w:sz w:val="18"/>
              </w:rPr>
              <w:t>İlk parça ve gereken ürün/proses sonuçlarını kabul kaynağıyla değerlendirir; etkilenen kapsamın ürün kararını ve gerekli müşteri onayını yönetir.</w:t>
            </w:r>
          </w:p>
        </w:tc>
      </w:tr>
      <w:tr>
        <w:trPr>
          <w:cantSplit/>
        </w:trPr>
        <w:tc>
          <w:tcPr>
            <w:tcW w:type="dxa" w:w="2160"/>
          </w:tcPr>
          <w:p>
            <w:r>
              <w:rPr>
                <w:sz w:val="18"/>
              </w:rPr>
              <w:t>Bakım</w:t>
            </w:r>
          </w:p>
        </w:tc>
        <w:tc>
          <w:tcPr>
            <w:tcW w:type="dxa" w:w="6480"/>
          </w:tcPr>
          <w:p>
            <w:r>
              <w:rPr>
                <w:sz w:val="18"/>
              </w:rPr>
              <w:t>Müdahale edilen ekipman ve fonksiyonları, güvenli teknik teslimi ve iş emrini bildirir. Bakım kapanışı tek başına ürün veya hat serbest bırakması değildir.</w:t>
            </w:r>
          </w:p>
        </w:tc>
      </w:tr>
      <w:tr>
        <w:trPr>
          <w:cantSplit/>
        </w:trPr>
        <w:tc>
          <w:tcPr>
            <w:tcW w:type="dxa" w:w="2160"/>
          </w:tcPr>
          <w:p>
            <w:r>
              <w:rPr>
                <w:sz w:val="18"/>
              </w:rPr>
              <w:t>Mühendislik / proses sorumlusu</w:t>
            </w:r>
          </w:p>
        </w:tc>
        <w:tc>
          <w:tcPr>
            <w:tcW w:type="dxa" w:w="6480"/>
          </w:tcPr>
          <w:p>
            <w:r>
              <w:rPr>
                <w:sz w:val="18"/>
              </w:rPr>
              <w:t>İstasyon başlatma standardını, reçete/ayar sürümünü ve kabul kaynaklarını güncel tutar; değişiklikte risk, kontrol ve onay ihtiyacını değerlendirir.</w:t>
            </w:r>
          </w:p>
        </w:tc>
      </w:tr>
    </w:tbl>
    <w:p>
      <w:pPr>
        <w:pStyle w:val="Heading1"/>
      </w:pPr>
      <w:r>
        <w:t>3 Başlatmayı gerektiren olaylar</w:t>
      </w:r>
    </w:p>
    <w:p>
      <w:r>
        <w:t>Üretim başlangıcında ve vardiya başlangıcında; parça numarası veya ürün revizyonu değiştiğinde; takım, kalıp, fikstür veya ayar değiştiğinde; bakım/onarım sonrasında ve önemli üretim duruşundan sonra uygulanabilir başlatma kontrolleri yapılır. Enerji/veri kaybı, reçete değişimi, EP arızası veya ürün uygunluğunu etkileyebilecek başka bir olayda da yeniden başlatma değerlendirilir.</w:t>
      </w:r>
    </w:p>
    <w:p>
      <w:r>
        <w:t>Önemli duruşun istasyona özgü tanımı ve hangi kontrollerin yeniden yapılacağı onaylı istasyon talimatında belirtilir. Evrensel dakika sınırı kullanılmaz. Duruşun ayar, malzeme, izlenebilirlik veya güvenlik üzerindeki etkisi belirsizse istasyon serbest kabul edilmez.</w:t>
      </w:r>
    </w:p>
    <w:p>
      <w:r>
        <w:t>Her olay için EKG-URT-FRM-02 üzerinde tek kayıt numarası açılır; gerçek tarih-saat, istasyon, tetikleyici, parça/revizyon, iş emri ve lot belirtilir. İlgili bakım/değişiklik/arıza kaydı bu numarayla ilişkilendirilir.</w:t>
      </w:r>
    </w:p>
    <w:p>
      <w:pPr>
        <w:pStyle w:val="Heading1"/>
      </w:pPr>
      <w:r>
        <w:t>4 İstasyonun hazırlanması ve güvenli ayar</w:t>
      </w:r>
    </w:p>
    <w:p>
      <w:r>
        <w:t>Başlangıç durumu sahada görünür biçimde “Başlatma kontrolü bekliyor” olarak gösterilir. Önceki işten kalan parçalar, ayar/deneme parçaları, etiketler ve malzemeler kaldırılır veya kimliği ve statüsüyle ayrılır. Ürünün yanlış parça, lot, revizyon veya yönle işlenmesi önlenir.</w:t>
      </w:r>
    </w:p>
    <w:p>
      <w:r>
        <w:t>İşe uygun KKD/PPE, makine koruyucuları ve güvenli çalışma koşulları kontrol edilir. Ayar ve bakım müdahalesi yalnız yetkili kişi ve güvenli müdahale yöntemiyle yapılır. Güvenlik fonksiyonu, koruyucu veya enerji izolasyonu üretim ihtiyacı gerekçesiyle atlanmaz.</w:t>
      </w:r>
    </w:p>
    <w:p>
      <w:r>
        <w:t>İstasyon, yüzeyler, aparat ve kontrol alanı temiz ve düzenli olmalıdır. Cam kırığı, talaş, toz, önceki üründen kalıntı, hasar veya karışma riski giderilir. Aydınlatma ve ilgili çalışma ortamı şartları iş standardıyla karşılaştırılır.</w:t>
      </w:r>
    </w:p>
    <w:p>
      <w:r>
        <w:t>Makine, takım/fikstür, ölçüm cihazı ve yardımcı tesislerin kullanılabilirliği; geçerli kalibrasyon/doğrulama durumu ve yapılması gereken L1 bakım kontrolleri doğrulanır. Bakım kaydı EKG-BKM-TLM-02 ile ilişkilendirilir; operatör yetkisi dışındaki işlem yapılmaz.</w:t>
      </w:r>
    </w:p>
    <w:p>
      <w:r>
        <w:t>Cam, profil, conta, ara çıta, yapıştırıcı/sızdırmazlık malzemesi ve diğer girdiler yalnız gerçek ürün kapsamına göre kontrol edilir. Malzeme kodu/revizyonu, lotu, miktarı, uygunluk statüsü, gerekiyorsa raf ömrü ve ürün yönü/kaplama yüzeyi doğru iş emriyle eşleşmelidir.</w:t>
      </w:r>
    </w:p>
    <w:p>
      <w:pPr>
        <w:pStyle w:val="Heading1"/>
      </w:pPr>
      <w:r>
        <w:t>5 EP ve parametrelerin doğrulanması</w:t>
      </w:r>
    </w:p>
    <w:p>
      <w:r>
        <w:t>İstasyonda o parça/revizyon için gereken EP cihazları ve uygulanacak test yöntemi EKG-KLT-PRS-08’e göre belirlenir. Sadece cihazın açık görünmesi yeterli değildir; tanımlı testte uygun parçanın kabulü, bilinen hata koşulunun algılanması ve gerekli durdurma/ret/transfer engelleme fonksiyonu doğrulanır. EP testi ile ölçüm cihazının sıfırlanması ayrı işlemlerdir.</w:t>
      </w:r>
    </w:p>
    <w:p>
      <w:r>
        <w:t>EP test parçası, sınır/referans numunesi ve normal üretim parçası birbirinden ayırt edilir. Bilinen NOK test numunesi serbest ürün akışına karışmaz; test güvenli talimata göre yapılır. Test sonucu veya arıza EKG-KLT-FRM-10’a kaydedilir ve başlangıç kaydına referans verilir.</w:t>
      </w:r>
    </w:p>
    <w:p>
      <w:r>
        <w:t>Doğru program/reçete ve sürümü yüklenir. İlgili ayar ile mümkün olduğunda gerçek proses/ölçüm değeri, teknik kaynağı, kabul aralığı ve birimiyle kaydedilir. Kontrolün hangi ekipman, ürün veya istasyon için yapıldığı anlaşılır olmalıdır.</w:t>
      </w:r>
    </w:p>
    <w:p>
      <w:r>
        <w:t>Kesme/işleme, yıkama, temperleme, baskı, birleştirme, yalıtımlı cam kapama veya diğer işlemlerin parametreleri yalnız uygulanabilir onaylı teknik kaynaktan alınır. Kaynak, tolerans veya birim eksikse tahminle uygun kararı verilmez. Başarısız parametre ve sonradan yapılan düzeltme ilk bilgiyi silmeden ayrı kaydedilir.</w:t>
      </w:r>
    </w:p>
    <w:p>
      <w:pPr>
        <w:pStyle w:val="Heading1"/>
      </w:pPr>
      <w:r>
        <w:t>6 İlk parça doğrulaması ve parça ayrımı</w:t>
      </w:r>
    </w:p>
    <w:p>
      <w:r>
        <w:t>Güvenli ön kontroller tamamlandıktan sonra yalnız kontrollü ayar/ilk parça denemesi yapılır. Normal seri üretim ve sonraki prosese transfer, gereken ilk parça doğrulaması tamamlanana kadar bekletilir. Bu aşamada üretilen tüm parçalar başlangıç kayıt numarası, parça/revizyon, lot ve statüyle izlenir.</w:t>
      </w:r>
    </w:p>
    <w:p>
      <w:r>
        <w:t>İlk parça numune miktarı, özellikler, kontrol metodu ve kabul şartları kontrol planı/SWI’den alınır. EKG-URT-FRM-03’e gerçek sonuç, numune kimliği, kaynak ve doğrulayan kaydedilir; form numarası EKG-URT-FRM-02’ye bağlanır. Sadece “ilk parça uygun” notu ölçüm/test kanıtının yerine geçmez.</w:t>
      </w:r>
    </w:p>
    <w:p>
      <w:r>
        <w:t>Ayar/deneme parçaları ayrı, görünür ve fiziksel olarak korunmuş bir konumda tutulur. İlk parça ve gerekiyorsa son parça; referansı, gerçek oluşturma zamanı ve kabul statüsüyle tanımlanır, istasyon yakınında hasar ve karışmaya karşı korunur. Saklama/yenileme noktası istasyon talimatında belirlenir.</w:t>
      </w:r>
    </w:p>
    <w:p>
      <w:r>
        <w:t>Tahrip edilmiş, NOK veya sonucu belirsiz parça üretime geri verilmez. Kullanılmasına izin verilen uygun ilk/son parçanın yeniden akışa alınması yetkili ürün kararıyla, lot izlenebilirliği ve FIFO korunarak yapılır. Ayar parçası veya EP test numunesi olduğu gizlenerek seri ürün statüsü verilemez.</w:t>
      </w:r>
    </w:p>
    <w:p>
      <w:pPr>
        <w:pStyle w:val="Heading1"/>
      </w:pPr>
      <w:r>
        <w:t>7 Referans ve sınır numunelerinin kontrolü</w:t>
      </w:r>
    </w:p>
    <w:p>
      <w:r>
        <w:t>İstasyonda gereken master/sınır numunesi veya izin verilen görsel referans; tanım, parça/revizyon, ilgili özellik, OK/NOK karar ölçütü ve onay durumu bakımından doğrulanır. Geçerliliği belirsiz, hasarlı veya farklı revizyona ait örnek kabul referansı olarak kullanılmaz.</w:t>
      </w:r>
    </w:p>
    <w:p>
      <w:r>
        <w:t>Numuneyi tanımlama, onaylama ve dönemsel gözden geçirme sorumlusu belirlenir; müşteri onayı gerektiğinde kaydı alınır. Fotoğraf yalnız ilgili özelliği güvenilir biçimde temsil ettiği ve talimatta izin verildiği durumda kullanılır; gerekli fiziksel ölçüm/testi ortadan kaldırmaz.</w:t>
      </w:r>
    </w:p>
    <w:p>
      <w:r>
        <w:t>Numuneler istasyona yakın, kimliği okunur ve ilk durumunu koruyan yerde tutulur. Kullanımı iş talimatında açıklanır ve ilgili personelin eğitiminde gösterilir. Müşteri geri bildirimi veya kabul kriteri değişirse numune gözden geçirilir.</w:t>
      </w:r>
    </w:p>
    <w:p>
      <w:pPr>
        <w:pStyle w:val="Heading1"/>
      </w:pPr>
      <w:r>
        <w:t>8 Hat serbest bırakması ve görünür durum</w:t>
      </w:r>
    </w:p>
    <w:p>
      <w:r>
        <w:t>Yetkilendirilmiş sorumlu, EKG-URT-FRM-02 ile tüm uygulanabilir kontrollerin tamamlandığını, parametre ve EP kanıtlarının uygun olduğunu, ilk parça doğrulamasının kayda bağlandığını ve parçaların ayrım/izlenebilirliğinin sağlandığını doğrular. Zorunlu kontrol boş veya NOK iken seri üretim serbest bırakılamaz.</w:t>
      </w:r>
    </w:p>
    <w:p>
      <w:r>
        <w:t>Serbest bırakma kararı; yetkili kişi, gerçek tarih-saat, başlatılabilecek ürün/lot ve varsa onaylı kontrol sınırlarıyla kaydedilir. İstasyonun görünür durumu “Serbest” olarak değiştirilir. Makine kontrol sistemi destekliyorsa başlatma doğrulamasının tamamlanması seri üretim çalışmasına bağlanır; yoksa tanımlı görsel/yetkili kontrol uygulanır.</w:t>
      </w:r>
    </w:p>
    <w:p>
      <w:r>
        <w:t>Teknik bakım teslimi, ilk parça kabulü ve seri üretim/transfer kararı gerektiğinde ayrı yetkilerle izlenir. İç onay müşteri onayı yerine geçmez. Zorunlu müşteri/teknik izin eksikse normal akış başlatılmaz; mevzuat veya güvenlik şartı sapma izniyle kaldırılmaz.</w:t>
      </w:r>
    </w:p>
    <w:p>
      <w:pPr>
        <w:pStyle w:val="Heading1"/>
      </w:pPr>
      <w:r>
        <w:t>9 NOK, eksik kontrol ve yeniden başlatma reaksiyonu</w:t>
      </w:r>
    </w:p>
    <w:p>
      <w:r>
        <w:t>NOK, eksik kanıt, EP arızası, yanlış ayar/malzeme veya izlenebilirlik kopması tespitinde etkilenen işlem ve transfer güvenli biçimde durdurulur; durum “Beklet / arıza” olarak gösterilir. Vardiya sorumlusu ve Kalite bilgilendirilir; teknik güvenlik gerekiyorsa Bakım çağrılır.</w:t>
      </w:r>
    </w:p>
    <w:p>
      <w:r>
        <w:t>Şüpheli kapsam, yalnız yeni başlangıç lotuyla sınırlandırılmaz. Son doğrulanmış uygun ürün/kontrol ve gerekiyorsa son başarılı EP testi kaydı bulunur; bu noktadan itibaren etkilenebilecek zaman, lot, miktar ve ürün konumları değerlendirilir. Belirsizlikte kapsam güvenli yönde genişletilir.</w:t>
      </w:r>
    </w:p>
    <w:p>
      <w:r>
        <w:t>İstasyondaki ayar parçaları, yarı mamul, sonraki istasyonlar, stok, transit ve gerekiyorsa müşterideki ürünler için etki belirlenir; karantina/blokaj ve sayısal kapsam kaydedilir. Ürün kararı yetkili Kalite değerlendirmesiyle verilir; gerekli müşteri bildirimi/onayı geçerli süreç üzerinden izlenir.</w:t>
      </w:r>
    </w:p>
    <w:p>
      <w:r>
        <w:t>Arıza/parametre sorunu giderildikten sonra etkilenen kontroller, EP fonksiyon testi ve gerekli ilk parça doğrulaması tekrarlanır. Önceki NOK sonucu silinmez; düzeltme, tekrar sonucu ve kanıt bağlanır. Yeniden serbest bırakma ancak uygun sonuç ve gerçek yetkili kararla yapılır.</w:t>
      </w:r>
    </w:p>
    <w:p>
      <w:r>
        <w:t>Alternatif proses, kontrol atlama veya EP by-pass kararı bu kontrol listesinin “OK” yapılmasıyla verilemez. EKG-KLT-FRM-42 üzerinden risk, süre/lot sınırı, ek kontrol ve gerekli onaylar tamamlanmadan alternatif akışa geçilmez.</w:t>
      </w:r>
    </w:p>
    <w:p>
      <w:pPr>
        <w:pStyle w:val="Heading1"/>
      </w:pPr>
      <w:r>
        <w:t>10 Kayıt ve kaynak bağlantıları</w:t>
      </w:r>
    </w:p>
    <w:p>
      <w:r>
        <w:t>EKG-URT-FRM-02 başlangıç olayının ana kaydıdır. EKG-URT-FRM-03 ilk/son parça kaydı, EKG-KLT-FRM-10 EP test/arıza kaydı, varsa EKG-KLT-FRM-42 alternatif proses ve bakım iş emri aynı başlangıç kayıt numarasına bağlanır. Gerçek işlem tarihleri kullanılır; boş formun yayın/revizyon tarihi faaliyet tarihi yerine yazılmaz.</w:t>
      </w:r>
    </w:p>
    <w:p>
      <w:r>
        <w:t>Dayanak: Kullanıcının sağladığı Stellantis “Start of Production and Error Proofing #5”, Manufacturing Requirement for Supplier V1.0, 56 sayfalık PDF. Sayfalar aşağıda PDF sayfa numarasıyla verilmiştir. Kullanıcı NSA eşlemesi SP&amp;EP11, SP&amp;EP12 ve SP&amp;EP13’tür; MRS içindeki ayrı SP&amp;EP14 ilk parça maddesi de ilgili uygulama adımında dikkate alınır. Bu belge resmî NSA puanlama oluşturmaz.</w:t>
      </w:r>
    </w:p>
    <w:tbl>
      <w:tblPr>
        <w:tblStyle w:val="LightShading-Accent1"/>
        <w:tblW w:type="auto" w:w="0"/>
        <w:tblLayout w:type="fixed"/>
        <w:tblLook w:firstColumn="1" w:firstRow="1" w:lastColumn="0" w:lastRow="0" w:noHBand="0" w:noVBand="1" w:val="04A0"/>
      </w:tblPr>
      <w:tblGrid>
        <w:gridCol w:w="2160"/>
        <w:gridCol w:w="6480"/>
      </w:tblGrid>
      <w:tr>
        <w:trPr>
          <w:cantSplit/>
          <w:tblHeader/>
        </w:trPr>
        <w:tc>
          <w:tcPr>
            <w:tcW w:type="dxa" w:w="2160"/>
          </w:tcPr>
          <w:p>
            <w:r>
              <w:rPr>
                <w:sz w:val="18"/>
              </w:rPr>
              <w:t>Uygulama konusu</w:t>
            </w:r>
          </w:p>
        </w:tc>
        <w:tc>
          <w:tcPr>
            <w:tcW w:type="dxa" w:w="6480"/>
          </w:tcPr>
          <w:p>
            <w:r>
              <w:rPr>
                <w:sz w:val="18"/>
              </w:rPr>
              <w:t>MRS #5 kaynak sayfası</w:t>
            </w:r>
          </w:p>
        </w:tc>
      </w:tr>
      <w:tr>
        <w:trPr>
          <w:cantSplit/>
        </w:trPr>
        <w:tc>
          <w:tcPr>
            <w:tcW w:type="dxa" w:w="2160"/>
          </w:tcPr>
          <w:p>
            <w:r>
              <w:rPr>
                <w:sz w:val="18"/>
              </w:rPr>
              <w:t>Ana olaylarda tanımlı ve uygulanan başlatma</w:t>
            </w:r>
          </w:p>
        </w:tc>
        <w:tc>
          <w:tcPr>
            <w:tcW w:type="dxa" w:w="6480"/>
          </w:tcPr>
          <w:p>
            <w:r>
              <w:rPr>
                <w:sz w:val="18"/>
              </w:rPr>
              <w:t>s.8 SP&amp;EP11; s.12 başlangıç tetikleri ve kontrol içeriği</w:t>
            </w:r>
          </w:p>
        </w:tc>
      </w:tr>
      <w:tr>
        <w:trPr>
          <w:cantSplit/>
        </w:trPr>
        <w:tc>
          <w:tcPr>
            <w:tcW w:type="dxa" w:w="2160"/>
          </w:tcPr>
          <w:p>
            <w:r>
              <w:rPr>
                <w:sz w:val="18"/>
              </w:rPr>
              <w:t>Gerçek tarih, parametre, ilk parça ve reaksiyon kaydı</w:t>
            </w:r>
          </w:p>
        </w:tc>
        <w:tc>
          <w:tcPr>
            <w:tcW w:type="dxa" w:w="6480"/>
          </w:tcPr>
          <w:p>
            <w:r>
              <w:rPr>
                <w:sz w:val="18"/>
              </w:rPr>
              <w:t>s.9 SP&amp;EP12; s.17 ve 19 denetim kanıtları</w:t>
            </w:r>
          </w:p>
        </w:tc>
      </w:tr>
      <w:tr>
        <w:trPr>
          <w:cantSplit/>
        </w:trPr>
        <w:tc>
          <w:tcPr>
            <w:tcW w:type="dxa" w:w="2160"/>
          </w:tcPr>
          <w:p>
            <w:r>
              <w:rPr>
                <w:sz w:val="18"/>
              </w:rPr>
              <w:t>Ayar parçalarının ayrılması ve başlangıç izlenebilirliği</w:t>
            </w:r>
          </w:p>
        </w:tc>
        <w:tc>
          <w:tcPr>
            <w:tcW w:type="dxa" w:w="6480"/>
          </w:tcPr>
          <w:p>
            <w:r>
              <w:rPr>
                <w:sz w:val="18"/>
              </w:rPr>
              <w:t>s.10 SP&amp;EP13; s.12 ve 17</w:t>
            </w:r>
          </w:p>
        </w:tc>
      </w:tr>
      <w:tr>
        <w:trPr>
          <w:cantSplit/>
        </w:trPr>
        <w:tc>
          <w:tcPr>
            <w:tcW w:type="dxa" w:w="2160"/>
          </w:tcPr>
          <w:p>
            <w:r>
              <w:rPr>
                <w:sz w:val="18"/>
              </w:rPr>
              <w:t>İlk parçanın kimliği, istasyon yakını ve akışa dönüşte FIFO</w:t>
            </w:r>
          </w:p>
        </w:tc>
        <w:tc>
          <w:tcPr>
            <w:tcW w:type="dxa" w:w="6480"/>
          </w:tcPr>
          <w:p>
            <w:r>
              <w:rPr>
                <w:sz w:val="18"/>
              </w:rPr>
              <w:t>s.11 SP&amp;EP14</w:t>
            </w:r>
          </w:p>
        </w:tc>
      </w:tr>
      <w:tr>
        <w:trPr>
          <w:cantSplit/>
        </w:trPr>
        <w:tc>
          <w:tcPr>
            <w:tcW w:type="dxa" w:w="2160"/>
          </w:tcPr>
          <w:p>
            <w:r>
              <w:rPr>
                <w:sz w:val="18"/>
              </w:rPr>
              <w:t>İstasyon durumunun görünürlüğü ve standart görev</w:t>
            </w:r>
          </w:p>
        </w:tc>
        <w:tc>
          <w:tcPr>
            <w:tcW w:type="dxa" w:w="6480"/>
          </w:tcPr>
          <w:p>
            <w:r>
              <w:rPr>
                <w:sz w:val="18"/>
              </w:rPr>
              <w:t>s.13–14</w:t>
            </w:r>
          </w:p>
        </w:tc>
      </w:tr>
      <w:tr>
        <w:trPr>
          <w:cantSplit/>
        </w:trPr>
        <w:tc>
          <w:tcPr>
            <w:tcW w:type="dxa" w:w="2160"/>
          </w:tcPr>
          <w:p>
            <w:r>
              <w:rPr>
                <w:sz w:val="18"/>
              </w:rPr>
              <w:t>Sınır/referans numunesi, karar ölçütü, eğitim ve koruma</w:t>
            </w:r>
          </w:p>
        </w:tc>
        <w:tc>
          <w:tcPr>
            <w:tcW w:type="dxa" w:w="6480"/>
          </w:tcPr>
          <w:p>
            <w:r>
              <w:rPr>
                <w:sz w:val="18"/>
              </w:rPr>
              <w:t>s.15–16 ve 18</w:t>
            </w:r>
          </w:p>
        </w:tc>
      </w:tr>
    </w:tbl>
    <w:p>
      <w:pPr>
        <w:pStyle w:val="Heading1"/>
      </w:pPr>
      <w:r>
        <w:t>11 Başlangıç etkinliğinin izlenmesi</w:t>
      </w:r>
    </w:p>
    <w:p>
      <w:r>
        <w:t>Üretim ve Kalite, tanımlı raporlama döneminde EKG-URT-FRM-02 olay kayıtlarından planlanan/yapılan başlangıçları, başarısız veya eksik kontrolleri ve tekrarlayan başlangıç nedenlerini izler. Başlangıç sapmasına bağlı duruş ve hurda gerçek olay/ürün karar kayıtlarıyla ilişkilendirilir; EP arızaları EKG-KLT-FRM-10 ile ayrıca bağlanır. Eksik kayıt başarılı başlatma veya sıfır kayıp sayılmaz.</w:t>
      </w:r>
    </w:p>
    <w:p>
      <w:r>
        <w:t>Baskın başlangıç/ayar hataları, duruş ve hurda nedenleri görsel takip ve uygun Pareto analiziyle gözden geçirilir; başlıca nedenlere sorumlu, termin ve doğrulanabilir etkinlik ölçütüyle aksiyon atanır. Sonuçlara göre başlangıç standardı, görev/sıklık, eğitim veya proses/ekipman kontrolü güncellenir. Bir aksiyonun tamamlanması etkinliğinin kanıtlandığı anlamına gelmez.</w:t>
      </w:r>
    </w:p>
    <w:p>
      <w:pPr>
        <w:pStyle w:val="Heading1"/>
      </w:pPr>
      <w:r>
        <w:t>Kaynak ve bağlı belgeler</w:t>
      </w:r>
    </w:p>
    <w:p>
      <w:r>
        <w:t>Kaynak: Stellantis MRS #5, V1.0, Doc-Info 01601_13_00117; sağlanan PDF s. 8, 9, 10, 11, 12, 13, 14, 15, 16, 17, 18, 19, 49, 53. NSA V8 eşlemesi, kullanıcının paylaştığı belge listesindeki referanstır; MRS kodlarıyla ayrı izlenir.</w:t>
      </w:r>
    </w:p>
    <w:p>
      <w:r>
        <w:t>Kriter izleme: SP&amp;EP11; SP&amp;EP12; SP&amp;EP13; MRS SP&amp;EPE1: başlangıç başarısızlıklarının takibi; MRS SP&amp;EPE3: başlangıç/ayar kaynaklı duruş ve hurdanın takibi</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Revizyon nedeni: MRS #5 başlangıç, ayar doğrulama, ilk parça ve şüpheli ürün reaksiyon akışı tanımlandı.</w:t>
    </w:r>
  </w:p>
  <w:p>
    <w:r>
      <w:t xml:space="preserve">Sayfa </w:t>
    </w:r>
    <w:r>
      <w:fldChar w:fldCharType="begin"/>
    </w:r>
    <w:r>
      <w:instrText> PAGE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20"/>
      </w:rPr>
      <w:t>EKOL GLASS  |  EKG-URT-PRS-02</w:t>
    </w:r>
  </w:p>
  <w:p>
    <w:r>
      <w:rPr>
        <w:sz w:val="18"/>
      </w:rPr>
      <w:t>İlk yayın: 08.05.2026  |  Revizyon tarihi: 07.08.2026  |  Rev.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F55"/>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F5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Devreye Alma (Start-up) ve Set-up Doğrulama Prosedürü</dc:title>
  <dc:subject>EKG-URT-PRS-02</dc:subject>
  <dc:creator>EKOL GLASS</dc:creator>
  <cp:keywords/>
  <dc:description>generated by python-docx</dc:description>
  <cp:lastModifiedBy>EKOL GLASS</cp:lastModifiedBy>
  <cp:revision>1</cp:revision>
  <dcterms:created xsi:type="dcterms:W3CDTF">2026-05-08T09:00:00Z</dcterms:created>
  <dcterms:modified xsi:type="dcterms:W3CDTF">2026-10-20T07:38:19Z</dcterms:modified>
  <cp:category/>
</cp:coreProperties>
</file>