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EKGKimli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KonuBal"/>
      </w:pPr>
      <w:r>
        <w:rPr>
          <w:rFonts w:ascii="Calibri" w:hAnsi="Calibri"/>
        </w:rPr>
        <w:t>Kalite Yönetim Sistemi El Kitabı</w:t>
      </w:r>
    </w:p>
    <w:p>
      <w:pPr>
        <w:pStyle w:val="Heading1"/>
      </w:pPr>
      <w:r>
        <w:rPr>
          <w:rFonts w:ascii="Calibri" w:hAnsi="Calibri"/>
        </w:rPr>
        <w:t>1 Amaç ve kapsam</w:t>
      </w:r>
    </w:p>
    <w:p>
      <w:r>
        <w:rPr>
          <w:rFonts w:ascii="Calibri" w:hAnsi="Calibri"/>
        </w:rPr>
        <w:t>Bu el kitabı, EKOL GLASS kalite yönetim sisteminin süreçlerini, sorumluluklarını ve temel kontrol kurallarını tanımlar. Kaynak el kitabındaki ürün kapsamı çok katlı yalıtımlı cam imalatıdır. Fiilî ürün, proses ve tesis kapsamı onaylı kapsam kaydıyla yönetilir; yeni ürün ve otomotiv projeleri kapsam değişikliği olarak değerlendirilir.</w:t>
      </w:r>
    </w:p>
    <w:p>
      <w:r>
        <w:rPr>
          <w:rFonts w:ascii="Calibri" w:hAnsi="Calibri"/>
        </w:rPr>
        <w:t>ISO 9001:2015 sistem yaklaşımı esas alınır. IATF 16949, Stellantis şartları, ürün standartları ve mevzuat yalnız sözleşme, ürün ve pazar açısından uygulanabilirliği doğrulandığında ilgili süreçlere aktarılır. Bu el kitabı belgelendirme veya ürün tip onayı kanıtı yerine geçmez.</w:t>
      </w:r>
    </w:p>
    <w:p>
      <w:pPr>
        <w:pStyle w:val="Heading1"/>
      </w:pPr>
      <w:r>
        <w:rPr>
          <w:rFonts w:ascii="Calibri" w:hAnsi="Calibri"/>
        </w:rPr>
        <w:t>2 Bağlam, ilgili taraflar ve süreçler</w:t>
      </w:r>
    </w:p>
    <w:p>
      <w:r>
        <w:rPr>
          <w:rFonts w:ascii="Calibri" w:hAnsi="Calibri"/>
        </w:rPr>
        <w:t>Yönetim ve süreç sahipleri; müşteri/tedarikçi yapısı, personel ve yetkinlik, teknoloji, kapasite, altyapı, yasal değişiklik, pazar ve tedarik zinciri koşullarını değerlendirir. İklim değişikliğinin ürün uygunluğu ve iş sürekliliğine etkisinin ilgili olup olmadığı da kaydedilir. İlgili tarafların uygulanabilir şartları, sorumlusu ve izleme yöntemi belirlenir.</w:t>
      </w:r>
    </w:p>
    <w:p>
      <w:r>
        <w:rPr>
          <w:rFonts w:ascii="Calibri" w:hAnsi="Calibri"/>
        </w:rPr>
        <w:t>Süreç sahibi, amaç, girdi/çıktı ve kabul şartları, arayüzler, kaynaklar, riskler, kayıt ve göstergeler EKG-YNT-FRM-01 ile tanımlanır. Süreç kapsamı veya arayüz değişince ilgili risk, kontrol ve gösterge kayıtları birlikte güncellenir.</w:t>
      </w:r>
    </w:p>
    <w:tbl>
      <w:tblPr>
        <w:tblStyle w:val="TabloKlavuzu"/>
        <w:tblW w:type="auto" w:w="0"/>
        <w:tblLayout w:type="fixed"/>
        <w:tblLook w:firstColumn="1" w:firstRow="1" w:lastColumn="0" w:lastRow="0" w:noHBand="0" w:noVBand="1" w:val="04A0"/>
      </w:tblPr>
      <w:tblGrid>
        <w:gridCol w:w="3197"/>
        <w:gridCol w:w="6895"/>
      </w:tblGrid>
      <w:tr>
        <w:trPr>
          <w:tblHeader/>
          <w:cantSplit/>
        </w:trPr>
        <w:tc>
          <w:tcPr>
            <w:tcW w:type="dxa" w:w="3197"/>
          </w:tcPr>
          <w:p>
            <w:pPr>
              <w:keepNext w:val="0"/>
              <w:spacing w:before="20" w:after="40" w:line="240" w:lineRule="auto"/>
            </w:pPr>
            <w:r>
              <w:rPr>
                <w:rFonts w:ascii="Calibri" w:hAnsi="Calibri"/>
                <w:sz w:val="19"/>
              </w:rPr>
              <w:t>Süreç grubu</w:t>
            </w:r>
          </w:p>
        </w:tc>
        <w:tc>
          <w:tcPr>
            <w:tcW w:type="dxa" w:w="6895"/>
          </w:tcPr>
          <w:p>
            <w:pPr>
              <w:keepNext w:val="0"/>
              <w:spacing w:before="20" w:after="40" w:line="240" w:lineRule="auto"/>
            </w:pPr>
            <w:r>
              <w:rPr>
                <w:rFonts w:ascii="Calibri" w:hAnsi="Calibri"/>
                <w:sz w:val="19"/>
              </w:rPr>
              <w:t>Temel etkileşim / çıktı</w:t>
            </w:r>
          </w:p>
        </w:tc>
      </w:tr>
      <w:tr>
        <w:trPr>
          <w:cantSplit/>
        </w:trPr>
        <w:tc>
          <w:tcPr>
            <w:tcW w:type="dxa" w:w="3197"/>
          </w:tcPr>
          <w:p>
            <w:pPr>
              <w:keepNext w:val="0"/>
              <w:spacing w:before="20" w:after="40" w:line="240" w:lineRule="auto"/>
            </w:pPr>
            <w:r>
              <w:rPr>
                <w:rFonts w:ascii="Calibri" w:hAnsi="Calibri"/>
                <w:sz w:val="19"/>
              </w:rPr>
              <w:t>Yönetim ve iyileştirme</w:t>
            </w:r>
          </w:p>
        </w:tc>
        <w:tc>
          <w:tcPr>
            <w:tcW w:type="dxa" w:w="6895"/>
          </w:tcPr>
          <w:p>
            <w:pPr>
              <w:keepNext w:val="0"/>
              <w:spacing w:before="20" w:after="40" w:line="240" w:lineRule="auto"/>
            </w:pPr>
            <w:r>
              <w:rPr>
                <w:rFonts w:ascii="Calibri" w:hAnsi="Calibri"/>
                <w:sz w:val="19"/>
              </w:rPr>
              <w:t>Politika, hedef, kaynak ve kararlar tüm süreçleri yönlendirir; performans ve risk sonuçları yönetime döner.</w:t>
            </w:r>
          </w:p>
        </w:tc>
      </w:tr>
      <w:tr>
        <w:trPr>
          <w:cantSplit/>
        </w:trPr>
        <w:tc>
          <w:tcPr>
            <w:tcW w:type="dxa" w:w="3197"/>
          </w:tcPr>
          <w:p>
            <w:pPr>
              <w:keepNext w:val="0"/>
              <w:spacing w:before="20" w:after="40" w:line="240" w:lineRule="auto"/>
            </w:pPr>
            <w:r>
              <w:rPr>
                <w:rFonts w:ascii="Calibri" w:hAnsi="Calibri"/>
                <w:sz w:val="19"/>
              </w:rPr>
              <w:t>Satış ve proje</w:t>
            </w:r>
          </w:p>
        </w:tc>
        <w:tc>
          <w:tcPr>
            <w:tcW w:type="dxa" w:w="6895"/>
          </w:tcPr>
          <w:p>
            <w:pPr>
              <w:keepNext w:val="0"/>
              <w:spacing w:before="20" w:after="40" w:line="240" w:lineRule="auto"/>
            </w:pPr>
            <w:r>
              <w:rPr>
                <w:rFonts w:ascii="Calibri" w:hAnsi="Calibri"/>
                <w:sz w:val="19"/>
              </w:rPr>
              <w:t>Müşteri şartları → yapılabilirlik, teknik dosya, onaylı sipariş ve değişiklik bilgisi.</w:t>
            </w:r>
          </w:p>
        </w:tc>
      </w:tr>
      <w:tr>
        <w:trPr>
          <w:cantSplit/>
        </w:trPr>
        <w:tc>
          <w:tcPr>
            <w:tcW w:type="dxa" w:w="3197"/>
          </w:tcPr>
          <w:p>
            <w:pPr>
              <w:keepNext w:val="0"/>
              <w:spacing w:before="20" w:after="40" w:line="240" w:lineRule="auto"/>
            </w:pPr>
            <w:r>
              <w:rPr>
                <w:rFonts w:ascii="Calibri" w:hAnsi="Calibri"/>
                <w:sz w:val="19"/>
              </w:rPr>
              <w:t>Satınalma ve dış kaynak</w:t>
            </w:r>
          </w:p>
        </w:tc>
        <w:tc>
          <w:tcPr>
            <w:tcW w:type="dxa" w:w="6895"/>
          </w:tcPr>
          <w:p>
            <w:pPr>
              <w:keepNext w:val="0"/>
              <w:spacing w:before="20" w:after="40" w:line="240" w:lineRule="auto"/>
            </w:pPr>
            <w:r>
              <w:rPr>
                <w:rFonts w:ascii="Calibri" w:hAnsi="Calibri"/>
                <w:sz w:val="19"/>
              </w:rPr>
              <w:t>Onaylı şartlar → uygun malzeme / dış proses ve yeterlilik kanıtı.</w:t>
            </w:r>
          </w:p>
        </w:tc>
      </w:tr>
      <w:tr>
        <w:trPr>
          <w:cantSplit/>
        </w:trPr>
        <w:tc>
          <w:tcPr>
            <w:tcW w:type="dxa" w:w="3197"/>
          </w:tcPr>
          <w:p>
            <w:pPr>
              <w:keepNext w:val="0"/>
              <w:spacing w:before="20" w:after="40" w:line="240" w:lineRule="auto"/>
            </w:pPr>
            <w:r>
              <w:rPr>
                <w:rFonts w:ascii="Calibri" w:hAnsi="Calibri"/>
                <w:sz w:val="19"/>
              </w:rPr>
              <w:t>Planlama ve üretim</w:t>
            </w:r>
          </w:p>
        </w:tc>
        <w:tc>
          <w:tcPr>
            <w:tcW w:type="dxa" w:w="6895"/>
          </w:tcPr>
          <w:p>
            <w:pPr>
              <w:keepNext w:val="0"/>
              <w:spacing w:before="20" w:after="40" w:line="240" w:lineRule="auto"/>
            </w:pPr>
            <w:r>
              <w:rPr>
                <w:rFonts w:ascii="Calibri" w:hAnsi="Calibri"/>
                <w:sz w:val="19"/>
              </w:rPr>
              <w:t>Onaylı sipariş, malzeme ve teknik dosya → tanımlı ve izlenebilir ürün.</w:t>
            </w:r>
          </w:p>
        </w:tc>
      </w:tr>
      <w:tr>
        <w:trPr>
          <w:cantSplit/>
        </w:trPr>
        <w:tc>
          <w:tcPr>
            <w:tcW w:type="dxa" w:w="3197"/>
          </w:tcPr>
          <w:p>
            <w:pPr>
              <w:keepNext w:val="0"/>
              <w:spacing w:before="20" w:after="40" w:line="240" w:lineRule="auto"/>
            </w:pPr>
            <w:r>
              <w:rPr>
                <w:rFonts w:ascii="Calibri" w:hAnsi="Calibri"/>
                <w:sz w:val="19"/>
              </w:rPr>
              <w:t>Kalite ve lojistik</w:t>
            </w:r>
          </w:p>
        </w:tc>
        <w:tc>
          <w:tcPr>
            <w:tcW w:type="dxa" w:w="6895"/>
          </w:tcPr>
          <w:p>
            <w:pPr>
              <w:keepNext w:val="0"/>
              <w:spacing w:before="20" w:after="40" w:line="240" w:lineRule="auto"/>
            </w:pPr>
            <w:r>
              <w:rPr>
                <w:rFonts w:ascii="Calibri" w:hAnsi="Calibri"/>
                <w:sz w:val="19"/>
              </w:rPr>
              <w:t>Muayene/test, ürün kararı ve teslimat → uygun ürün, teslim teyidi ve geri bildirim.</w:t>
            </w:r>
          </w:p>
        </w:tc>
      </w:tr>
      <w:tr>
        <w:trPr>
          <w:cantSplit/>
        </w:trPr>
        <w:tc>
          <w:tcPr>
            <w:tcW w:type="dxa" w:w="3197"/>
          </w:tcPr>
          <w:p>
            <w:pPr>
              <w:keepNext w:val="0"/>
              <w:spacing w:before="20" w:after="40" w:line="240" w:lineRule="auto"/>
            </w:pPr>
            <w:r>
              <w:rPr>
                <w:rFonts w:ascii="Calibri" w:hAnsi="Calibri"/>
                <w:sz w:val="19"/>
              </w:rPr>
              <w:t>Destek</w:t>
            </w:r>
          </w:p>
        </w:tc>
        <w:tc>
          <w:tcPr>
            <w:tcW w:type="dxa" w:w="6895"/>
          </w:tcPr>
          <w:p>
            <w:pPr>
              <w:keepNext w:val="0"/>
              <w:spacing w:before="20" w:after="40" w:line="240" w:lineRule="auto"/>
            </w:pPr>
            <w:r>
              <w:rPr>
                <w:rFonts w:ascii="Calibri" w:hAnsi="Calibri"/>
                <w:sz w:val="19"/>
              </w:rPr>
              <w:t>Yetkin personel, bakımlı ekipman, güvenilir ölçüm, bilgi ve çalışma ortamı.</w:t>
            </w:r>
          </w:p>
        </w:tc>
      </w:tr>
    </w:tbl>
    <w:p>
      <w:pPr>
        <w:pStyle w:val="Heading1"/>
      </w:pPr>
      <w:r>
        <w:rPr>
          <w:rFonts w:ascii="Calibri" w:hAnsi="Calibri"/>
        </w:rPr>
        <w:t>3 Liderlik, politika ve yetkiler</w:t>
      </w:r>
    </w:p>
    <w:p>
      <w:r>
        <w:rPr>
          <w:rFonts w:ascii="Calibri" w:hAnsi="Calibri"/>
        </w:rPr>
        <w:t>Üst yönetim sistemin etkinliğinden, uygulanabilir şartların karşılanmasından, kaynaklardan ve müşteri odağından sorumludur. Görev, yetki, vekâlet ve raporlama ilişkileri onaylı organizasyon ve görev kayıtlarıyla duyurulur.</w:t>
      </w:r>
    </w:p>
    <w:p>
      <w:r>
        <w:rPr>
          <w:rFonts w:ascii="Calibri" w:hAnsi="Calibri"/>
        </w:rPr>
        <w:t>Kalite politikası; müşteri şartlarını karşılamayı, güvenilir ürün ve zamanında teslimatı, uygulanabilir mevzuata uyumu ve sürekli iyileştirmeyi esas alır. Politikanın uygunluğu yönetimin gözden geçirmesinde değerlendirilir; personele görevleriyle ilişkisi açıklanır.</w:t>
      </w:r>
    </w:p>
    <w:p>
      <w:r>
        <w:rPr>
          <w:rFonts w:ascii="Calibri" w:hAnsi="Calibri"/>
        </w:rPr>
        <w:t>Her çalışan şüpheli ürünü ayırır ve ilgili işi güvenli biçimde durdurup amirine/kaliteye bildirir. Kalite yetkilisi ürünün serbest bırakılması için gerekli kanıt ve onayları doğrular. Ticari veya termin baskısı kontrol atlamaya gerekçe olamaz.</w:t>
      </w:r>
    </w:p>
    <w:p>
      <w:pPr>
        <w:pStyle w:val="Heading1"/>
      </w:pPr>
      <w:r>
        <w:rPr>
          <w:rFonts w:ascii="Calibri" w:hAnsi="Calibri"/>
        </w:rPr>
        <w:t>4 Riskler, hedefler ve değişiklikler</w:t>
      </w:r>
    </w:p>
    <w:p>
      <w:r>
        <w:rPr>
          <w:rFonts w:ascii="Calibri" w:hAnsi="Calibri"/>
        </w:rPr>
        <w:t>Risk ve fırsatlar EKG-YNT-PRS-04 ile değerlendirilir; yüksek riskte koruma, sorumlu, termin ve etkinlik ölçütü belirlenir. Ürün/proses PFMEA çalışmaları kendi uygulanabilir müşteri yöntemine göre yürütülür. Kesinti planları EKG-YNT-PRS-05 ile hazırlanır ve test edilir.</w:t>
      </w:r>
    </w:p>
    <w:p>
      <w:r>
        <w:rPr>
          <w:rFonts w:ascii="Calibri" w:hAnsi="Calibri"/>
        </w:rPr>
        <w:t>Ölçülebilir hedefler; gösterge, kapsam, başlangıç, hedef/kaynak, veri sorumlusu, takip sıklığı ve sapma faaliyetiyle EKG-YNT-PLN-04’te izlenir. Hesaplar EKG-YNT-STD-03’e göre yapılır. Eksik veri veya boş hedef başarılı sonuç sayılmaz.</w:t>
      </w:r>
    </w:p>
    <w:p>
      <w:r>
        <w:rPr>
          <w:rFonts w:ascii="Calibri" w:hAnsi="Calibri"/>
        </w:rPr>
        <w:t>Sistem, ürün, proses, kaynak veya teknik doküman değişikliği öncesinde risk, kaynak, sorumluluk, doğrulama ve gerekli müşteri onayları değerlendirilir. Onay kapsamı dışında üretim/sevkiyat yapılmaz.</w:t>
      </w:r>
    </w:p>
    <w:p>
      <w:pPr>
        <w:pStyle w:val="Heading1"/>
      </w:pPr>
      <w:r>
        <w:rPr>
          <w:rFonts w:ascii="Calibri" w:hAnsi="Calibri"/>
        </w:rPr>
        <w:t>5 Kaynaklar ve dokümante bilgi</w:t>
      </w:r>
    </w:p>
    <w:p>
      <w:r>
        <w:rPr>
          <w:rFonts w:ascii="Calibri" w:hAnsi="Calibri"/>
        </w:rPr>
        <w:t>İşe uygun personel yetkinliği görev ve süreç şartına göre doğrulanır; eğitim katılımının yanında iş üzerinde uygulama ve etkinlik de değerlendirilir. Altyapı, bakım, çalışma ortamı, kurumsal bilgi ve erişim sürekliliği süreç sahiplerince yönetilir.</w:t>
      </w:r>
    </w:p>
    <w:p>
      <w:r>
        <w:rPr>
          <w:rFonts w:ascii="Calibri" w:hAnsi="Calibri"/>
        </w:rPr>
        <w:t>Ölçüm kaynaklarının kullanım amacına uygunluğu, kalibrasyon/doğrulama durumu ve gerekli MSA kanıtı izlenir. Geçersiz cihaz kullanımı önlenir; uygunsuz cihazın önceki ürün sonuçlarına etkisi değerlendirilir. Kalibrasyon gerekmemesi tek başına cihazın ölçümde kullanılamayacağı anlamına gelmez.</w:t>
      </w:r>
    </w:p>
    <w:p>
      <w:r>
        <w:rPr>
          <w:rFonts w:ascii="Calibri" w:hAnsi="Calibri"/>
        </w:rPr>
        <w:t>Güncel belge, kod/revizyon, onay, dağıtım ve dış kaynak kontrolü EKG-YNT-PRS-01 ve EKG-YNT-TLM-02’ye göre yürütülür. Tamamlanmış kayıtların ilk bilgisi ve gerçek işlem tarihleri korunur; erişim, yedek, saklama ve imha EKG-YNT-PRS-07 ile yönetilir.</w:t>
      </w:r>
    </w:p>
    <w:p>
      <w:pPr>
        <w:pStyle w:val="Heading1"/>
      </w:pPr>
      <w:r>
        <w:rPr>
          <w:rFonts w:ascii="Calibri" w:hAnsi="Calibri"/>
        </w:rPr>
        <w:t>6 Müşteri şartları ve tasarım sorumluluğu</w:t>
      </w:r>
    </w:p>
    <w:p>
      <w:r>
        <w:rPr>
          <w:rFonts w:ascii="Calibri" w:hAnsi="Calibri"/>
        </w:rPr>
        <w:t>Teklif/sipariş kabulünden önce ürün, miktar, revizyon, termin, teknik/yasal şartlar, kapasite, test ve gerekli onaylar gözden geçirilir. Çelişki ve değişiklik müşteriyle yazılı teyit edilir. CSR kaynakları ve uygulama kanıtları EKG-YNT-PRS-02 ve EKG-YNT-MTR-01 ile izlenir.</w:t>
      </w:r>
    </w:p>
    <w:p>
      <w:r>
        <w:rPr>
          <w:rFonts w:ascii="Calibri" w:hAnsi="Calibri"/>
        </w:rPr>
        <w:t>Ürün tasarımı sorumluluğu sözleşme ve fiilî faaliyetle belirlenir. Uygulanmayan şart için gerekçe, kapsam ve yetkili karar kayıtlı olur. Ürün tasarımı müşteride olsa bile üretim prosesi tasarımı, risk, kontrol planı ve değişiklik sorumluluğu ayrıca değerlendirilir; yalnız müşteri resmiyle çalışma gerekçesiyle tüm tasarım faaliyetleri dışlanmaz.</w:t>
      </w:r>
    </w:p>
    <w:p>
      <w:r>
        <w:rPr>
          <w:rFonts w:ascii="Calibri" w:hAnsi="Calibri"/>
        </w:rPr>
        <w:t>Ürün/proses geliştirme sorumluluğu olduğunda girdiler, plan, sorumlular, gözden geçirme, doğrulama/geçerli kılma, çıktılar ve değişiklikler teknik dosyada izlenir. Ürün güvenliği ve mevzuat şartları EKG-KLT-PRS-12 ve EKG-KLT-MTR-01’e bağlanır.</w:t>
      </w:r>
    </w:p>
    <w:p>
      <w:pPr>
        <w:pStyle w:val="Heading1"/>
      </w:pPr>
      <w:r>
        <w:rPr>
          <w:rFonts w:ascii="Calibri" w:hAnsi="Calibri"/>
        </w:rPr>
        <w:t>7 Tedarik, üretim ve izlenebilirlik</w:t>
      </w:r>
    </w:p>
    <w:p>
      <w:r>
        <w:rPr>
          <w:rFonts w:ascii="Calibri" w:hAnsi="Calibri"/>
        </w:rPr>
        <w:t>Tedarikçi ve dış proses kontrolü ürün riskine göre belirlenir. Kaynak onayı, parça/proses yeterliliği ve giriş kabulü ayrı kararlardır. Güncel teknik şart ve gerekli alt tedarikçi aktarımı EKG-STN-PRS-01 ve EKG-STN-STD-01 ile yönetilir.</w:t>
      </w:r>
    </w:p>
    <w:p>
      <w:r>
        <w:rPr>
          <w:rFonts w:ascii="Calibri" w:hAnsi="Calibri"/>
        </w:rPr>
        <w:t>Üretim yalnız güncel teknik dosya, kontrol planı, yetkin personel, uygun ekipman ve tanımlı proses koşullarında yürütülür. İlk parça, hat içi/son kontrol, hata önleme, yeniden işlem ve kesinti sonrası başlatma sonuçları kaydedilir.</w:t>
      </w:r>
    </w:p>
    <w:p>
      <w:r>
        <w:rPr>
          <w:rFonts w:ascii="Calibri" w:hAnsi="Calibri"/>
        </w:rPr>
        <w:t>Hammadde, dış proses, yarı mamul ve mamul lot ilişkileri sevkiyata kadar korunur. Kimliği veya uygunluğu belirsiz ürün ayrılır. Müşteri ve tedarikçi mülkiyetindeki çizim, veri, numune ve fiziksel varlıklar EKG-YNT-PRS-06 ile tanımlanır, korunur ve olay halinde sahibine bildirilir.</w:t>
      </w:r>
    </w:p>
    <w:p>
      <w:r>
        <w:rPr>
          <w:rFonts w:ascii="Calibri" w:hAnsi="Calibri"/>
        </w:rPr>
        <w:t>Ambalaj, depolama, taşıma ve teslimat koşulları ürünün onaylı şartlarına göre yürütülür. Teslimat sonrası yükümlülükler sözleşme ve uygulanabilir mevzuata göre değerlendirilir; EKG-KLT-GAR-01 ve EKG-KLT-TLM-01 kullanılır.</w:t>
      </w:r>
    </w:p>
    <w:p>
      <w:pPr>
        <w:pStyle w:val="Heading1"/>
      </w:pPr>
      <w:r>
        <w:rPr>
          <w:rFonts w:ascii="Calibri" w:hAnsi="Calibri"/>
        </w:rPr>
        <w:t>8 Ürün kararı ve uygunsuzluk</w:t>
      </w:r>
    </w:p>
    <w:p>
      <w:r>
        <w:rPr>
          <w:rFonts w:ascii="Calibri" w:hAnsi="Calibri"/>
        </w:rPr>
        <w:t>Serbest bırakma öncesi planlı kontrollerin uygun sonuçları, ürün/lot kimliği ve yetkili karar izlenebilir olur. Eksik kontrol veya belirsiz sonuç uygun kabul edilmez. Gerekli müşteri izni iç onayın yerine kullanılamaz; mevzuata aykırılığa izin vermez.</w:t>
      </w:r>
    </w:p>
    <w:p>
      <w:r>
        <w:rPr>
          <w:rFonts w:ascii="Calibri" w:hAnsi="Calibri"/>
        </w:rPr>
        <w:t>Uygunsuz/şüpheli ürünün kullanımı ve sevki engellenir. Son uygun kontrol noktasından itibaren stok, transit ve müşterideki kapsam değerlendirilir. Ayıklama, yeniden işlem, ret veya sapma kararı ile tekrar kontrol ve bildirim kanıtları korunur.</w:t>
      </w:r>
    </w:p>
    <w:p>
      <w:pPr>
        <w:pStyle w:val="Heading1"/>
      </w:pPr>
      <w:r>
        <w:rPr>
          <w:rFonts w:ascii="Calibri" w:hAnsi="Calibri"/>
        </w:rPr>
        <w:t>9 Performans, iç tetkik ve yönetim gözden geçirmesi</w:t>
      </w:r>
    </w:p>
    <w:p>
      <w:r>
        <w:rPr>
          <w:rFonts w:ascii="Calibri" w:hAnsi="Calibri"/>
        </w:rPr>
        <w:t>Müşteri geri bildirimi, ürün/proses sonuçları, teslimat, tedarikçi performansı, uygunsuzluk ve hedef eğilimleri aynı kapsam ve veri yöntemiyle analiz edilir. EKG-SAT-FRM-05 anketi diğer müşteri performans verileriyle birlikte değerlendirilir.</w:t>
      </w:r>
    </w:p>
    <w:p>
      <w:r>
        <w:rPr>
          <w:rFonts w:ascii="Calibri" w:hAnsi="Calibri"/>
        </w:rPr>
        <w:t>İç tetkikler EKG-KLT-PRS-19 ve EKG-KLT-PLN-04 ile risk, müşteri şartları, değişiklik ve önceki sonuçlara göre planlanır. Tetkikçiler kendi işlerini tetkik etmez; yetkinlik EKG-KLT-PRS-24 ile doğrulanır. Bulgular şart ve nesnel kanıtla yazılır, etkinlik doğrulanarak kapatılır.</w:t>
      </w:r>
    </w:p>
    <w:p>
      <w:r>
        <w:rPr>
          <w:rFonts w:ascii="Calibri" w:hAnsi="Calibri"/>
        </w:rPr>
        <w:t>Üst yönetim yılda en az bir kez ve kritik riskte ek olarak sistemi gözden geçirir. EKG-YNT-PRS-03 ve EKG-YNT-FRM-02 üzerinden önceki kararlar, bağlam, müşteri, süreç, hedef, kaynak, risk ve iyileştirme girdileri değerlendirilir; karar, sorumlu, kaynak, termin ve doğrulama ölçütü kaydedilir.</w:t>
      </w:r>
    </w:p>
    <w:p>
      <w:pPr>
        <w:pStyle w:val="Heading1"/>
      </w:pPr>
      <w:r>
        <w:rPr>
          <w:rFonts w:ascii="Calibri" w:hAnsi="Calibri"/>
        </w:rPr>
        <w:t>10 İyileştirme ve doküman kontrolü</w:t>
      </w:r>
    </w:p>
    <w:p>
      <w:r>
        <w:rPr>
          <w:rFonts w:ascii="Calibri" w:hAnsi="Calibri"/>
        </w:rPr>
        <w:t>Uygunsuzlukta ilk koruma/düzeltme ile kök neden ve kalıcı faaliyetin etkinliği ayrı izlenir. Tekrar ve benzer ürün/proseslere yayılım değerlendirilir. İyileştirmeler EKG-KLT-PRS-20 ile gerçek başlangıç/sonuç verisi üzerinden doğrulanır.</w:t>
      </w:r>
    </w:p>
    <w:p>
      <w:r>
        <w:rPr>
          <w:rFonts w:ascii="Calibri" w:hAnsi="Calibri"/>
        </w:rPr>
        <w:t>Bu el kitabının revizyonu diğer kontrollü belgelerle aynı onay ve dağıtım düzenindedir. Eski revizyonlar kullanım yerinden çekilir; geçmiş kayıtların dayandığı sürüm korunur.</w:t>
      </w:r>
    </w:p>
    <w:sectPr w:rsidR="00D65D72" w:rsidRPr="00D65D72" w:rsidSect="00E22A7D">
      <w:headerReference w:type="even" r:id="rIdEKGKimlik"/>
      <w:headerReference w:type="first" r:id="rIdEKGKimlik"/>
      <w:headerReference w:type="default" r:id="rId10"/>
      <w:footerReference w:type="default" r:id="rId11"/>
      <w:pgSz w:w="11906" w:h="16838"/>
      <w:pgMar w:top="1417" w:right="1417" w:bottom="1417" w:left="1417"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683C8" w14:textId="77777777" w:rsidR="00085297" w:rsidRDefault="00085297" w:rsidP="00501EBD">
      <w:pPr>
        <w:spacing w:after="0" w:line="240" w:lineRule="auto"/>
      </w:pPr>
      <w:r>
        <w:separator/>
      </w:r>
    </w:p>
  </w:endnote>
  <w:endnote w:type="continuationSeparator" w:id="0">
    <w:p w14:paraId="05D491F4" w14:textId="77777777" w:rsidR="00085297" w:rsidRDefault="00085297" w:rsidP="00501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MT">
    <w:altName w:val="Arial"/>
    <w:panose1 w:val="020B0604020202020204"/>
    <w:charset w:val="B2"/>
    <w:family w:val="swiss"/>
    <w:notTrueType/>
    <w:pitch w:val="default"/>
    <w:sig w:usb0="00002001" w:usb1="00000000" w:usb2="00000000" w:usb3="00000000" w:csb0="00000040" w:csb1="00000000"/>
  </w:font>
  <w:font w:name="Bookman Old Style">
    <w:panose1 w:val="02050604050505020204"/>
    <w:charset w:val="A2"/>
    <w:family w:val="roman"/>
    <w:pitch w:val="variable"/>
    <w:sig w:usb0="00000287" w:usb1="00000000" w:usb2="00000000" w:usb3="00000000" w:csb0="0000009F" w:csb1="00000000"/>
  </w:font>
  <w:font w:name="Arial,Bold">
    <w:altName w:val="Arial"/>
    <w:panose1 w:val="020B0604020202020204"/>
    <w:charset w:val="A2"/>
    <w:family w:val="auto"/>
    <w:notTrueType/>
    <w:pitch w:val="default"/>
    <w:sig w:usb0="00000005" w:usb1="00000000" w:usb2="00000000" w:usb3="00000000" w:csb0="0000001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jc w:val="right"/>
    </w:pPr>
    <w:r>
      <w:rPr>
        <w:sz w:val="16"/>
      </w:rPr>
      <w:t xml:space="preserve">Sayfa </w:t>
    </w:r>
    <w:fldSimple w:instr="PAGE"/>
    <w:r>
      <w:t xml:space="preserve"> / </w:t>
    </w:r>
    <w:fldSimple w:instr="NUMPAGES"/>
  </w:p>
  <w:p>
    <w:pPr>
      <w:spacing w:before="0" w:after="0"/>
    </w:pPr>
    <w:r>
      <w:rPr>
        <w:rFonts w:ascii="Arial" w:hAnsi="Arial"/>
        <w:sz w:val="20"/>
      </w:rPr>
      <w:t>Revizyon nedeni: El kitabındaki çelişkiler ve tekrarlar giderildi; kapsam ve süreç arayüzleri sadeleştirildi.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098B63" w14:textId="77777777" w:rsidR="00085297" w:rsidRDefault="00085297" w:rsidP="00501EBD">
      <w:pPr>
        <w:spacing w:after="0" w:line="240" w:lineRule="auto"/>
      </w:pPr>
      <w:r>
        <w:separator/>
      </w:r>
    </w:p>
  </w:footnote>
  <w:footnote w:type="continuationSeparator" w:id="0">
    <w:p w14:paraId="605471E3" w14:textId="77777777" w:rsidR="00085297" w:rsidRDefault="00085297" w:rsidP="00501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type="auto" w:w="0"/>
      <w:tblLayout w:type="fixed"/>
      <w:tblLook w:firstColumn="1" w:firstRow="1" w:lastColumn="0" w:lastRow="0" w:noHBand="0" w:noVBand="1" w:val="04A0"/>
    </w:tblPr>
    <w:tblGrid>
      <w:gridCol w:w="3628"/>
      <w:gridCol w:w="6463"/>
    </w:tblGrid>
    <w:tr>
      <w:tc>
        <w:tcPr>
          <w:tcW w:type="dxa" w:w="5046"/>
        </w:tcPr>
        <w:p>
          <w:pPr>
            <w:spacing w:after="0"/>
          </w:pPr>
          <w:r>
            <w:drawing>
              <wp:inline xmlns:a="http://schemas.openxmlformats.org/drawingml/2006/main" xmlns:pic="http://schemas.openxmlformats.org/drawingml/2006/picture">
                <wp:extent cx="1296000" cy="448200"/>
                <wp:docPr id="1" name="Picture 1"/>
                <wp:cNvGraphicFramePr>
                  <a:graphicFrameLocks noChangeAspect="1"/>
                </wp:cNvGraphicFramePr>
                <a:graphic>
                  <a:graphicData uri="http://schemas.openxmlformats.org/drawingml/2006/picture">
                    <pic:pic>
                      <pic:nvPicPr>
                        <pic:cNvPr id="0" name="logo.png"/>
                        <pic:cNvPicPr/>
                      </pic:nvPicPr>
                      <pic:blipFill>
                        <a:blip r:embed="rId2"/>
                        <a:stretch>
                          <a:fillRect/>
                        </a:stretch>
                      </pic:blipFill>
                      <pic:spPr>
                        <a:xfrm>
                          <a:off x="0" y="0"/>
                          <a:ext cx="1296000" cy="448200"/>
                        </a:xfrm>
                        <a:prstGeom prst="rect"/>
                      </pic:spPr>
                    </pic:pic>
                  </a:graphicData>
                </a:graphic>
              </wp:inline>
            </w:drawing>
          </w:r>
        </w:p>
      </w:tc>
      <w:tc>
        <w:tcPr>
          <w:tcW w:type="dxa" w:w="5046"/>
        </w:tcPr>
        <w:p>
          <w:pPr>
            <w:spacing w:after="0"/>
            <w:jc w:val="right"/>
          </w:pPr>
          <w:r>
            <w:rPr>
              <w:rFonts w:ascii="Calibri" w:hAnsi="Calibri"/>
              <w:b/>
              <w:sz w:val="17"/>
            </w:rPr>
            <w:t>EKG-YNT-EKT-01</w:t>
          </w:r>
          <w:r>
            <w:rPr>
              <w:rFonts w:ascii="Calibri" w:hAnsi="Calibri"/>
              <w:b w:val="0"/>
              <w:sz w:val="17"/>
            </w:rPr>
            <w:br/>
            <w:t>İlk yayın: 04.05.2026</w:t>
          </w:r>
          <w:r>
            <w:rPr>
              <w:rFonts w:ascii="Calibri" w:hAnsi="Calibri"/>
              <w:b w:val="0"/>
              <w:sz w:val="17"/>
            </w:rPr>
            <w:br/>
            <w:t>Revizyon tarihi: 03.08.2026</w:t>
          </w:r>
        </w:p>
      </w:tc>
    </w:tr>
  </w:tbl>
  <w:p>
    <w:pPr>
      <w:spacing w:after="0"/>
    </w:pPr>
  </w:p>
</w:hdr>
</file>

<file path=word/headerEKGKimlik.xml><?xml version="1.0" encoding="utf-8"?>
<w:hdr xmlns:w="http://schemas.openxmlformats.org/wordprocessingml/2006/main">
  <w:p>
    <w:pPr>
      <w:jc w:val="right"/>
      <w:spacing w:before="0" w:after="40"/>
    </w:pPr>
    <w:r>
      <w:rPr>
        <w:b/>
        <w:color w:val="18364A"/>
        <w:sz w:val="18"/>
      </w:rPr>
      <w:t>Doküman No: EKG-YNT-EKT-01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95D96"/>
    <w:multiLevelType w:val="singleLevel"/>
    <w:tmpl w:val="FD460F10"/>
    <w:lvl w:ilvl="0">
      <w:numFmt w:val="bullet"/>
      <w:lvlText w:val=""/>
      <w:lvlJc w:val="left"/>
      <w:pPr>
        <w:tabs>
          <w:tab w:val="num" w:pos="900"/>
        </w:tabs>
        <w:ind w:left="900" w:hanging="360"/>
      </w:pPr>
      <w:rPr>
        <w:rFonts w:ascii="Symbol" w:hAnsi="Symbol" w:hint="default"/>
      </w:rPr>
    </w:lvl>
  </w:abstractNum>
  <w:abstractNum w:abstractNumId="1" w15:restartNumberingAfterBreak="0">
    <w:nsid w:val="04D9206B"/>
    <w:multiLevelType w:val="hybridMultilevel"/>
    <w:tmpl w:val="E10AB6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314C54"/>
    <w:multiLevelType w:val="hybridMultilevel"/>
    <w:tmpl w:val="DB0E48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5BD499C"/>
    <w:multiLevelType w:val="hybridMultilevel"/>
    <w:tmpl w:val="3CF270DA"/>
    <w:lvl w:ilvl="0" w:tplc="041F000F">
      <w:start w:val="1"/>
      <w:numFmt w:val="decimal"/>
      <w:lvlText w:val="%1."/>
      <w:lvlJc w:val="left"/>
      <w:pPr>
        <w:tabs>
          <w:tab w:val="num" w:pos="261"/>
        </w:tabs>
        <w:ind w:left="261" w:hanging="360"/>
      </w:pPr>
      <w:rPr>
        <w:rFonts w:hint="default"/>
      </w:rPr>
    </w:lvl>
    <w:lvl w:ilvl="1" w:tplc="041F0019" w:tentative="1">
      <w:start w:val="1"/>
      <w:numFmt w:val="lowerLetter"/>
      <w:lvlText w:val="%2."/>
      <w:lvlJc w:val="left"/>
      <w:pPr>
        <w:tabs>
          <w:tab w:val="num" w:pos="981"/>
        </w:tabs>
        <w:ind w:left="981" w:hanging="360"/>
      </w:pPr>
    </w:lvl>
    <w:lvl w:ilvl="2" w:tplc="041F001B" w:tentative="1">
      <w:start w:val="1"/>
      <w:numFmt w:val="lowerRoman"/>
      <w:lvlText w:val="%3."/>
      <w:lvlJc w:val="right"/>
      <w:pPr>
        <w:tabs>
          <w:tab w:val="num" w:pos="1701"/>
        </w:tabs>
        <w:ind w:left="1701" w:hanging="180"/>
      </w:pPr>
    </w:lvl>
    <w:lvl w:ilvl="3" w:tplc="041F000F" w:tentative="1">
      <w:start w:val="1"/>
      <w:numFmt w:val="decimal"/>
      <w:lvlText w:val="%4."/>
      <w:lvlJc w:val="left"/>
      <w:pPr>
        <w:tabs>
          <w:tab w:val="num" w:pos="2421"/>
        </w:tabs>
        <w:ind w:left="2421" w:hanging="360"/>
      </w:pPr>
    </w:lvl>
    <w:lvl w:ilvl="4" w:tplc="041F0019" w:tentative="1">
      <w:start w:val="1"/>
      <w:numFmt w:val="lowerLetter"/>
      <w:lvlText w:val="%5."/>
      <w:lvlJc w:val="left"/>
      <w:pPr>
        <w:tabs>
          <w:tab w:val="num" w:pos="3141"/>
        </w:tabs>
        <w:ind w:left="3141" w:hanging="360"/>
      </w:pPr>
    </w:lvl>
    <w:lvl w:ilvl="5" w:tplc="041F001B" w:tentative="1">
      <w:start w:val="1"/>
      <w:numFmt w:val="lowerRoman"/>
      <w:lvlText w:val="%6."/>
      <w:lvlJc w:val="right"/>
      <w:pPr>
        <w:tabs>
          <w:tab w:val="num" w:pos="3861"/>
        </w:tabs>
        <w:ind w:left="3861" w:hanging="180"/>
      </w:pPr>
    </w:lvl>
    <w:lvl w:ilvl="6" w:tplc="041F000F" w:tentative="1">
      <w:start w:val="1"/>
      <w:numFmt w:val="decimal"/>
      <w:lvlText w:val="%7."/>
      <w:lvlJc w:val="left"/>
      <w:pPr>
        <w:tabs>
          <w:tab w:val="num" w:pos="4581"/>
        </w:tabs>
        <w:ind w:left="4581" w:hanging="360"/>
      </w:pPr>
    </w:lvl>
    <w:lvl w:ilvl="7" w:tplc="041F0019" w:tentative="1">
      <w:start w:val="1"/>
      <w:numFmt w:val="lowerLetter"/>
      <w:lvlText w:val="%8."/>
      <w:lvlJc w:val="left"/>
      <w:pPr>
        <w:tabs>
          <w:tab w:val="num" w:pos="5301"/>
        </w:tabs>
        <w:ind w:left="5301" w:hanging="360"/>
      </w:pPr>
    </w:lvl>
    <w:lvl w:ilvl="8" w:tplc="041F001B" w:tentative="1">
      <w:start w:val="1"/>
      <w:numFmt w:val="lowerRoman"/>
      <w:lvlText w:val="%9."/>
      <w:lvlJc w:val="right"/>
      <w:pPr>
        <w:tabs>
          <w:tab w:val="num" w:pos="6021"/>
        </w:tabs>
        <w:ind w:left="6021" w:hanging="180"/>
      </w:pPr>
    </w:lvl>
  </w:abstractNum>
  <w:abstractNum w:abstractNumId="4" w15:restartNumberingAfterBreak="0">
    <w:nsid w:val="07BF5DA5"/>
    <w:multiLevelType w:val="hybridMultilevel"/>
    <w:tmpl w:val="E6DC4216"/>
    <w:lvl w:ilvl="0" w:tplc="041F0001">
      <w:start w:val="1"/>
      <w:numFmt w:val="bullet"/>
      <w:lvlText w:val=""/>
      <w:lvlJc w:val="left"/>
      <w:pPr>
        <w:tabs>
          <w:tab w:val="num" w:pos="360"/>
        </w:tabs>
        <w:ind w:left="360" w:hanging="360"/>
      </w:pPr>
      <w:rPr>
        <w:rFonts w:ascii="Symbol" w:hAnsi="Symbol" w:hint="default"/>
      </w:rPr>
    </w:lvl>
    <w:lvl w:ilvl="1" w:tplc="041F0003">
      <w:start w:val="1"/>
      <w:numFmt w:val="bullet"/>
      <w:lvlText w:val="o"/>
      <w:lvlJc w:val="left"/>
      <w:pPr>
        <w:tabs>
          <w:tab w:val="num" w:pos="1080"/>
        </w:tabs>
        <w:ind w:left="1080" w:hanging="360"/>
      </w:pPr>
      <w:rPr>
        <w:rFonts w:ascii="Courier New" w:hAnsi="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88D4222"/>
    <w:multiLevelType w:val="hybridMultilevel"/>
    <w:tmpl w:val="AE6ABFA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6D33E4"/>
    <w:multiLevelType w:val="hybridMultilevel"/>
    <w:tmpl w:val="7C0E8BB2"/>
    <w:lvl w:ilvl="0" w:tplc="126CFF94">
      <w:numFmt w:val="bullet"/>
      <w:lvlText w:val="•"/>
      <w:lvlJc w:val="left"/>
      <w:pPr>
        <w:ind w:left="1065" w:hanging="705"/>
      </w:pPr>
      <w:rPr>
        <w:rFonts w:ascii="Cambria" w:eastAsiaTheme="minorHAnsi" w:hAnsi="Cambria" w:cstheme="minorHAns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0E4A4F61"/>
    <w:multiLevelType w:val="hybridMultilevel"/>
    <w:tmpl w:val="2752CBA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51C0EBA"/>
    <w:multiLevelType w:val="hybridMultilevel"/>
    <w:tmpl w:val="3676C65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4F19F7"/>
    <w:multiLevelType w:val="hybridMultilevel"/>
    <w:tmpl w:val="C2DCFFE8"/>
    <w:lvl w:ilvl="0" w:tplc="041F000F">
      <w:start w:val="1"/>
      <w:numFmt w:val="decimal"/>
      <w:lvlText w:val="%1."/>
      <w:lvlJc w:val="left"/>
      <w:pPr>
        <w:tabs>
          <w:tab w:val="num" w:pos="360"/>
        </w:tabs>
        <w:ind w:left="360" w:hanging="360"/>
      </w:pPr>
    </w:lvl>
    <w:lvl w:ilvl="1" w:tplc="041F0019" w:tentative="1">
      <w:start w:val="1"/>
      <w:numFmt w:val="lowerLetter"/>
      <w:lvlText w:val="%2."/>
      <w:lvlJc w:val="left"/>
      <w:pPr>
        <w:tabs>
          <w:tab w:val="num" w:pos="1512"/>
        </w:tabs>
        <w:ind w:left="1512" w:hanging="360"/>
      </w:pPr>
    </w:lvl>
    <w:lvl w:ilvl="2" w:tplc="041F001B" w:tentative="1">
      <w:start w:val="1"/>
      <w:numFmt w:val="lowerRoman"/>
      <w:lvlText w:val="%3."/>
      <w:lvlJc w:val="right"/>
      <w:pPr>
        <w:tabs>
          <w:tab w:val="num" w:pos="2232"/>
        </w:tabs>
        <w:ind w:left="2232" w:hanging="180"/>
      </w:pPr>
    </w:lvl>
    <w:lvl w:ilvl="3" w:tplc="041F000F" w:tentative="1">
      <w:start w:val="1"/>
      <w:numFmt w:val="decimal"/>
      <w:lvlText w:val="%4."/>
      <w:lvlJc w:val="left"/>
      <w:pPr>
        <w:tabs>
          <w:tab w:val="num" w:pos="2952"/>
        </w:tabs>
        <w:ind w:left="2952" w:hanging="360"/>
      </w:pPr>
    </w:lvl>
    <w:lvl w:ilvl="4" w:tplc="041F0019" w:tentative="1">
      <w:start w:val="1"/>
      <w:numFmt w:val="lowerLetter"/>
      <w:lvlText w:val="%5."/>
      <w:lvlJc w:val="left"/>
      <w:pPr>
        <w:tabs>
          <w:tab w:val="num" w:pos="3672"/>
        </w:tabs>
        <w:ind w:left="3672" w:hanging="360"/>
      </w:pPr>
    </w:lvl>
    <w:lvl w:ilvl="5" w:tplc="041F001B" w:tentative="1">
      <w:start w:val="1"/>
      <w:numFmt w:val="lowerRoman"/>
      <w:lvlText w:val="%6."/>
      <w:lvlJc w:val="right"/>
      <w:pPr>
        <w:tabs>
          <w:tab w:val="num" w:pos="4392"/>
        </w:tabs>
        <w:ind w:left="4392" w:hanging="180"/>
      </w:pPr>
    </w:lvl>
    <w:lvl w:ilvl="6" w:tplc="041F000F" w:tentative="1">
      <w:start w:val="1"/>
      <w:numFmt w:val="decimal"/>
      <w:lvlText w:val="%7."/>
      <w:lvlJc w:val="left"/>
      <w:pPr>
        <w:tabs>
          <w:tab w:val="num" w:pos="5112"/>
        </w:tabs>
        <w:ind w:left="5112" w:hanging="360"/>
      </w:pPr>
    </w:lvl>
    <w:lvl w:ilvl="7" w:tplc="041F0019" w:tentative="1">
      <w:start w:val="1"/>
      <w:numFmt w:val="lowerLetter"/>
      <w:lvlText w:val="%8."/>
      <w:lvlJc w:val="left"/>
      <w:pPr>
        <w:tabs>
          <w:tab w:val="num" w:pos="5832"/>
        </w:tabs>
        <w:ind w:left="5832" w:hanging="360"/>
      </w:pPr>
    </w:lvl>
    <w:lvl w:ilvl="8" w:tplc="041F001B" w:tentative="1">
      <w:start w:val="1"/>
      <w:numFmt w:val="lowerRoman"/>
      <w:lvlText w:val="%9."/>
      <w:lvlJc w:val="right"/>
      <w:pPr>
        <w:tabs>
          <w:tab w:val="num" w:pos="6552"/>
        </w:tabs>
        <w:ind w:left="6552" w:hanging="180"/>
      </w:pPr>
    </w:lvl>
  </w:abstractNum>
  <w:abstractNum w:abstractNumId="10" w15:restartNumberingAfterBreak="0">
    <w:nsid w:val="16196CB0"/>
    <w:multiLevelType w:val="hybridMultilevel"/>
    <w:tmpl w:val="9942070C"/>
    <w:lvl w:ilvl="0" w:tplc="2C2E410A">
      <w:start w:val="4"/>
      <w:numFmt w:val="bullet"/>
      <w:lvlText w:val="•"/>
      <w:lvlJc w:val="left"/>
      <w:pPr>
        <w:ind w:left="720" w:hanging="360"/>
      </w:pPr>
      <w:rPr>
        <w:rFonts w:ascii="Cambria" w:eastAsiaTheme="minorHAnsi" w:hAnsi="Cambria"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CB27FD8"/>
    <w:multiLevelType w:val="singleLevel"/>
    <w:tmpl w:val="8BEECB8C"/>
    <w:lvl w:ilvl="0">
      <w:numFmt w:val="bullet"/>
      <w:lvlText w:val=""/>
      <w:lvlJc w:val="left"/>
      <w:pPr>
        <w:tabs>
          <w:tab w:val="num" w:pos="927"/>
        </w:tabs>
        <w:ind w:left="927" w:hanging="360"/>
      </w:pPr>
      <w:rPr>
        <w:rFonts w:ascii="Symbol" w:hAnsi="Symbol" w:hint="default"/>
      </w:rPr>
    </w:lvl>
  </w:abstractNum>
  <w:abstractNum w:abstractNumId="12" w15:restartNumberingAfterBreak="0">
    <w:nsid w:val="223D3082"/>
    <w:multiLevelType w:val="hybridMultilevel"/>
    <w:tmpl w:val="32986DF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A60B38"/>
    <w:multiLevelType w:val="hybridMultilevel"/>
    <w:tmpl w:val="15746830"/>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4" w15:restartNumberingAfterBreak="0">
    <w:nsid w:val="34433CFE"/>
    <w:multiLevelType w:val="hybridMultilevel"/>
    <w:tmpl w:val="5B6006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AA8099C"/>
    <w:multiLevelType w:val="hybridMultilevel"/>
    <w:tmpl w:val="AB08E74E"/>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6" w15:restartNumberingAfterBreak="0">
    <w:nsid w:val="3CAF5610"/>
    <w:multiLevelType w:val="hybridMultilevel"/>
    <w:tmpl w:val="C9BCAD5C"/>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17" w15:restartNumberingAfterBreak="0">
    <w:nsid w:val="3CEE47E2"/>
    <w:multiLevelType w:val="hybridMultilevel"/>
    <w:tmpl w:val="E9AE3E5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B63D0C"/>
    <w:multiLevelType w:val="hybridMultilevel"/>
    <w:tmpl w:val="240ADA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09D78E5"/>
    <w:multiLevelType w:val="hybridMultilevel"/>
    <w:tmpl w:val="AA90C054"/>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C50B94"/>
    <w:multiLevelType w:val="hybridMultilevel"/>
    <w:tmpl w:val="DB2CA36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7E189C"/>
    <w:multiLevelType w:val="hybridMultilevel"/>
    <w:tmpl w:val="43EAD4BC"/>
    <w:lvl w:ilvl="0" w:tplc="26E8FE74">
      <w:start w:val="1"/>
      <w:numFmt w:val="decimal"/>
      <w:lvlText w:val="%1."/>
      <w:lvlJc w:val="left"/>
      <w:pPr>
        <w:ind w:left="1065" w:hanging="705"/>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A375A70"/>
    <w:multiLevelType w:val="hybridMultilevel"/>
    <w:tmpl w:val="6FF0C8D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A52070"/>
    <w:multiLevelType w:val="hybridMultilevel"/>
    <w:tmpl w:val="E83010D2"/>
    <w:lvl w:ilvl="0" w:tplc="484277D0">
      <w:start w:val="4"/>
      <w:numFmt w:val="bullet"/>
      <w:lvlText w:val="•"/>
      <w:lvlJc w:val="left"/>
      <w:pPr>
        <w:ind w:left="360" w:hanging="360"/>
      </w:pPr>
      <w:rPr>
        <w:rFonts w:ascii="Cambria" w:eastAsiaTheme="minorHAnsi" w:hAnsi="Cambria" w:cstheme="minorBidi" w:hint="default"/>
        <w:sz w:val="24"/>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4" w15:restartNumberingAfterBreak="0">
    <w:nsid w:val="4F3C758C"/>
    <w:multiLevelType w:val="hybridMultilevel"/>
    <w:tmpl w:val="7B724696"/>
    <w:lvl w:ilvl="0" w:tplc="041F0001">
      <w:start w:val="1"/>
      <w:numFmt w:val="bullet"/>
      <w:lvlText w:val=""/>
      <w:lvlJc w:val="left"/>
      <w:pPr>
        <w:tabs>
          <w:tab w:val="num" w:pos="2204"/>
        </w:tabs>
        <w:ind w:left="2204" w:hanging="360"/>
      </w:pPr>
      <w:rPr>
        <w:rFonts w:ascii="Symbol" w:hAnsi="Symbol" w:hint="default"/>
      </w:rPr>
    </w:lvl>
    <w:lvl w:ilvl="1" w:tplc="041F0003" w:tentative="1">
      <w:start w:val="1"/>
      <w:numFmt w:val="bullet"/>
      <w:lvlText w:val="o"/>
      <w:lvlJc w:val="left"/>
      <w:pPr>
        <w:tabs>
          <w:tab w:val="num" w:pos="2924"/>
        </w:tabs>
        <w:ind w:left="2924" w:hanging="360"/>
      </w:pPr>
      <w:rPr>
        <w:rFonts w:ascii="Courier New" w:hAnsi="Courier New" w:cs="Courier New" w:hint="default"/>
      </w:rPr>
    </w:lvl>
    <w:lvl w:ilvl="2" w:tplc="041F0005" w:tentative="1">
      <w:start w:val="1"/>
      <w:numFmt w:val="bullet"/>
      <w:lvlText w:val=""/>
      <w:lvlJc w:val="left"/>
      <w:pPr>
        <w:tabs>
          <w:tab w:val="num" w:pos="3644"/>
        </w:tabs>
        <w:ind w:left="3644" w:hanging="360"/>
      </w:pPr>
      <w:rPr>
        <w:rFonts w:ascii="Wingdings" w:hAnsi="Wingdings" w:hint="default"/>
      </w:rPr>
    </w:lvl>
    <w:lvl w:ilvl="3" w:tplc="041F0001" w:tentative="1">
      <w:start w:val="1"/>
      <w:numFmt w:val="bullet"/>
      <w:lvlText w:val=""/>
      <w:lvlJc w:val="left"/>
      <w:pPr>
        <w:tabs>
          <w:tab w:val="num" w:pos="4364"/>
        </w:tabs>
        <w:ind w:left="4364" w:hanging="360"/>
      </w:pPr>
      <w:rPr>
        <w:rFonts w:ascii="Symbol" w:hAnsi="Symbol" w:hint="default"/>
      </w:rPr>
    </w:lvl>
    <w:lvl w:ilvl="4" w:tplc="041F0003" w:tentative="1">
      <w:start w:val="1"/>
      <w:numFmt w:val="bullet"/>
      <w:lvlText w:val="o"/>
      <w:lvlJc w:val="left"/>
      <w:pPr>
        <w:tabs>
          <w:tab w:val="num" w:pos="5084"/>
        </w:tabs>
        <w:ind w:left="5084" w:hanging="360"/>
      </w:pPr>
      <w:rPr>
        <w:rFonts w:ascii="Courier New" w:hAnsi="Courier New" w:cs="Courier New" w:hint="default"/>
      </w:rPr>
    </w:lvl>
    <w:lvl w:ilvl="5" w:tplc="041F0005" w:tentative="1">
      <w:start w:val="1"/>
      <w:numFmt w:val="bullet"/>
      <w:lvlText w:val=""/>
      <w:lvlJc w:val="left"/>
      <w:pPr>
        <w:tabs>
          <w:tab w:val="num" w:pos="5804"/>
        </w:tabs>
        <w:ind w:left="5804" w:hanging="360"/>
      </w:pPr>
      <w:rPr>
        <w:rFonts w:ascii="Wingdings" w:hAnsi="Wingdings" w:hint="default"/>
      </w:rPr>
    </w:lvl>
    <w:lvl w:ilvl="6" w:tplc="041F0001" w:tentative="1">
      <w:start w:val="1"/>
      <w:numFmt w:val="bullet"/>
      <w:lvlText w:val=""/>
      <w:lvlJc w:val="left"/>
      <w:pPr>
        <w:tabs>
          <w:tab w:val="num" w:pos="6524"/>
        </w:tabs>
        <w:ind w:left="6524" w:hanging="360"/>
      </w:pPr>
      <w:rPr>
        <w:rFonts w:ascii="Symbol" w:hAnsi="Symbol" w:hint="default"/>
      </w:rPr>
    </w:lvl>
    <w:lvl w:ilvl="7" w:tplc="041F0003" w:tentative="1">
      <w:start w:val="1"/>
      <w:numFmt w:val="bullet"/>
      <w:lvlText w:val="o"/>
      <w:lvlJc w:val="left"/>
      <w:pPr>
        <w:tabs>
          <w:tab w:val="num" w:pos="7244"/>
        </w:tabs>
        <w:ind w:left="7244" w:hanging="360"/>
      </w:pPr>
      <w:rPr>
        <w:rFonts w:ascii="Courier New" w:hAnsi="Courier New" w:cs="Courier New" w:hint="default"/>
      </w:rPr>
    </w:lvl>
    <w:lvl w:ilvl="8" w:tplc="041F0005" w:tentative="1">
      <w:start w:val="1"/>
      <w:numFmt w:val="bullet"/>
      <w:lvlText w:val=""/>
      <w:lvlJc w:val="left"/>
      <w:pPr>
        <w:tabs>
          <w:tab w:val="num" w:pos="7964"/>
        </w:tabs>
        <w:ind w:left="7964" w:hanging="360"/>
      </w:pPr>
      <w:rPr>
        <w:rFonts w:ascii="Wingdings" w:hAnsi="Wingdings" w:hint="default"/>
      </w:rPr>
    </w:lvl>
  </w:abstractNum>
  <w:abstractNum w:abstractNumId="25" w15:restartNumberingAfterBreak="0">
    <w:nsid w:val="4F8B4D3A"/>
    <w:multiLevelType w:val="hybridMultilevel"/>
    <w:tmpl w:val="BC242B7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0231B"/>
    <w:multiLevelType w:val="hybridMultilevel"/>
    <w:tmpl w:val="DD48B44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51E33F84"/>
    <w:multiLevelType w:val="hybridMultilevel"/>
    <w:tmpl w:val="C3088F08"/>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CE48A3"/>
    <w:multiLevelType w:val="hybridMultilevel"/>
    <w:tmpl w:val="BAC841E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542C59E2"/>
    <w:multiLevelType w:val="hybridMultilevel"/>
    <w:tmpl w:val="F830E48A"/>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0" w15:restartNumberingAfterBreak="0">
    <w:nsid w:val="581E2E68"/>
    <w:multiLevelType w:val="hybridMultilevel"/>
    <w:tmpl w:val="FE08FD8C"/>
    <w:lvl w:ilvl="0" w:tplc="9D100D1E">
      <w:start w:val="1"/>
      <w:numFmt w:val="bullet"/>
      <w:lvlText w:val="•"/>
      <w:lvlJc w:val="left"/>
      <w:pPr>
        <w:tabs>
          <w:tab w:val="num" w:pos="720"/>
        </w:tabs>
        <w:ind w:left="720" w:hanging="360"/>
      </w:pPr>
      <w:rPr>
        <w:rFonts w:ascii="Times New Roman" w:hAnsi="Times New Roman" w:hint="default"/>
      </w:rPr>
    </w:lvl>
    <w:lvl w:ilvl="1" w:tplc="8834C4E0" w:tentative="1">
      <w:start w:val="1"/>
      <w:numFmt w:val="bullet"/>
      <w:lvlText w:val="•"/>
      <w:lvlJc w:val="left"/>
      <w:pPr>
        <w:tabs>
          <w:tab w:val="num" w:pos="1440"/>
        </w:tabs>
        <w:ind w:left="1440" w:hanging="360"/>
      </w:pPr>
      <w:rPr>
        <w:rFonts w:ascii="Times New Roman" w:hAnsi="Times New Roman" w:hint="default"/>
      </w:rPr>
    </w:lvl>
    <w:lvl w:ilvl="2" w:tplc="7C8EB234" w:tentative="1">
      <w:start w:val="1"/>
      <w:numFmt w:val="bullet"/>
      <w:lvlText w:val="•"/>
      <w:lvlJc w:val="left"/>
      <w:pPr>
        <w:tabs>
          <w:tab w:val="num" w:pos="2160"/>
        </w:tabs>
        <w:ind w:left="2160" w:hanging="360"/>
      </w:pPr>
      <w:rPr>
        <w:rFonts w:ascii="Times New Roman" w:hAnsi="Times New Roman" w:hint="default"/>
      </w:rPr>
    </w:lvl>
    <w:lvl w:ilvl="3" w:tplc="2C02B470" w:tentative="1">
      <w:start w:val="1"/>
      <w:numFmt w:val="bullet"/>
      <w:lvlText w:val="•"/>
      <w:lvlJc w:val="left"/>
      <w:pPr>
        <w:tabs>
          <w:tab w:val="num" w:pos="2880"/>
        </w:tabs>
        <w:ind w:left="2880" w:hanging="360"/>
      </w:pPr>
      <w:rPr>
        <w:rFonts w:ascii="Times New Roman" w:hAnsi="Times New Roman" w:hint="default"/>
      </w:rPr>
    </w:lvl>
    <w:lvl w:ilvl="4" w:tplc="AB4C01BC" w:tentative="1">
      <w:start w:val="1"/>
      <w:numFmt w:val="bullet"/>
      <w:lvlText w:val="•"/>
      <w:lvlJc w:val="left"/>
      <w:pPr>
        <w:tabs>
          <w:tab w:val="num" w:pos="3600"/>
        </w:tabs>
        <w:ind w:left="3600" w:hanging="360"/>
      </w:pPr>
      <w:rPr>
        <w:rFonts w:ascii="Times New Roman" w:hAnsi="Times New Roman" w:hint="default"/>
      </w:rPr>
    </w:lvl>
    <w:lvl w:ilvl="5" w:tplc="DCBE13EA" w:tentative="1">
      <w:start w:val="1"/>
      <w:numFmt w:val="bullet"/>
      <w:lvlText w:val="•"/>
      <w:lvlJc w:val="left"/>
      <w:pPr>
        <w:tabs>
          <w:tab w:val="num" w:pos="4320"/>
        </w:tabs>
        <w:ind w:left="4320" w:hanging="360"/>
      </w:pPr>
      <w:rPr>
        <w:rFonts w:ascii="Times New Roman" w:hAnsi="Times New Roman" w:hint="default"/>
      </w:rPr>
    </w:lvl>
    <w:lvl w:ilvl="6" w:tplc="3C16994A" w:tentative="1">
      <w:start w:val="1"/>
      <w:numFmt w:val="bullet"/>
      <w:lvlText w:val="•"/>
      <w:lvlJc w:val="left"/>
      <w:pPr>
        <w:tabs>
          <w:tab w:val="num" w:pos="5040"/>
        </w:tabs>
        <w:ind w:left="5040" w:hanging="360"/>
      </w:pPr>
      <w:rPr>
        <w:rFonts w:ascii="Times New Roman" w:hAnsi="Times New Roman" w:hint="default"/>
      </w:rPr>
    </w:lvl>
    <w:lvl w:ilvl="7" w:tplc="1136C52A" w:tentative="1">
      <w:start w:val="1"/>
      <w:numFmt w:val="bullet"/>
      <w:lvlText w:val="•"/>
      <w:lvlJc w:val="left"/>
      <w:pPr>
        <w:tabs>
          <w:tab w:val="num" w:pos="5760"/>
        </w:tabs>
        <w:ind w:left="5760" w:hanging="360"/>
      </w:pPr>
      <w:rPr>
        <w:rFonts w:ascii="Times New Roman" w:hAnsi="Times New Roman" w:hint="default"/>
      </w:rPr>
    </w:lvl>
    <w:lvl w:ilvl="8" w:tplc="88FEEC7E"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5A802F06"/>
    <w:multiLevelType w:val="hybridMultilevel"/>
    <w:tmpl w:val="674EBB98"/>
    <w:lvl w:ilvl="0" w:tplc="041F000F">
      <w:start w:val="1"/>
      <w:numFmt w:val="decimal"/>
      <w:lvlText w:val="%1."/>
      <w:lvlJc w:val="left"/>
      <w:pPr>
        <w:ind w:left="896" w:hanging="360"/>
      </w:pPr>
    </w:lvl>
    <w:lvl w:ilvl="1" w:tplc="041F0019" w:tentative="1">
      <w:start w:val="1"/>
      <w:numFmt w:val="lowerLetter"/>
      <w:lvlText w:val="%2."/>
      <w:lvlJc w:val="left"/>
      <w:pPr>
        <w:ind w:left="1616" w:hanging="360"/>
      </w:pPr>
    </w:lvl>
    <w:lvl w:ilvl="2" w:tplc="041F001B" w:tentative="1">
      <w:start w:val="1"/>
      <w:numFmt w:val="lowerRoman"/>
      <w:lvlText w:val="%3."/>
      <w:lvlJc w:val="right"/>
      <w:pPr>
        <w:ind w:left="2336" w:hanging="180"/>
      </w:pPr>
    </w:lvl>
    <w:lvl w:ilvl="3" w:tplc="041F000F" w:tentative="1">
      <w:start w:val="1"/>
      <w:numFmt w:val="decimal"/>
      <w:lvlText w:val="%4."/>
      <w:lvlJc w:val="left"/>
      <w:pPr>
        <w:ind w:left="3056" w:hanging="360"/>
      </w:pPr>
    </w:lvl>
    <w:lvl w:ilvl="4" w:tplc="041F0019" w:tentative="1">
      <w:start w:val="1"/>
      <w:numFmt w:val="lowerLetter"/>
      <w:lvlText w:val="%5."/>
      <w:lvlJc w:val="left"/>
      <w:pPr>
        <w:ind w:left="3776" w:hanging="360"/>
      </w:pPr>
    </w:lvl>
    <w:lvl w:ilvl="5" w:tplc="041F001B" w:tentative="1">
      <w:start w:val="1"/>
      <w:numFmt w:val="lowerRoman"/>
      <w:lvlText w:val="%6."/>
      <w:lvlJc w:val="right"/>
      <w:pPr>
        <w:ind w:left="4496" w:hanging="180"/>
      </w:pPr>
    </w:lvl>
    <w:lvl w:ilvl="6" w:tplc="041F000F" w:tentative="1">
      <w:start w:val="1"/>
      <w:numFmt w:val="decimal"/>
      <w:lvlText w:val="%7."/>
      <w:lvlJc w:val="left"/>
      <w:pPr>
        <w:ind w:left="5216" w:hanging="360"/>
      </w:pPr>
    </w:lvl>
    <w:lvl w:ilvl="7" w:tplc="041F0019" w:tentative="1">
      <w:start w:val="1"/>
      <w:numFmt w:val="lowerLetter"/>
      <w:lvlText w:val="%8."/>
      <w:lvlJc w:val="left"/>
      <w:pPr>
        <w:ind w:left="5936" w:hanging="360"/>
      </w:pPr>
    </w:lvl>
    <w:lvl w:ilvl="8" w:tplc="041F001B" w:tentative="1">
      <w:start w:val="1"/>
      <w:numFmt w:val="lowerRoman"/>
      <w:lvlText w:val="%9."/>
      <w:lvlJc w:val="right"/>
      <w:pPr>
        <w:ind w:left="6656" w:hanging="180"/>
      </w:pPr>
    </w:lvl>
  </w:abstractNum>
  <w:abstractNum w:abstractNumId="32" w15:restartNumberingAfterBreak="0">
    <w:nsid w:val="5B232716"/>
    <w:multiLevelType w:val="hybridMultilevel"/>
    <w:tmpl w:val="79204C14"/>
    <w:lvl w:ilvl="0" w:tplc="1454418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5B910A60"/>
    <w:multiLevelType w:val="hybridMultilevel"/>
    <w:tmpl w:val="51D849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5DD16B06"/>
    <w:multiLevelType w:val="hybridMultilevel"/>
    <w:tmpl w:val="4BC67E0C"/>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5123D3E"/>
    <w:multiLevelType w:val="hybridMultilevel"/>
    <w:tmpl w:val="FC6C7050"/>
    <w:lvl w:ilvl="0" w:tplc="269A545A">
      <w:numFmt w:val="bullet"/>
      <w:lvlText w:val="•"/>
      <w:lvlJc w:val="left"/>
      <w:pPr>
        <w:ind w:left="360" w:hanging="360"/>
      </w:pPr>
      <w:rPr>
        <w:rFonts w:ascii="Cambria" w:eastAsiaTheme="minorHAnsi" w:hAnsi="Cambria" w:cstheme="minorBidi" w:hint="default"/>
      </w:rPr>
    </w:lvl>
    <w:lvl w:ilvl="1" w:tplc="041F0003">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6" w15:restartNumberingAfterBreak="0">
    <w:nsid w:val="66E078B0"/>
    <w:multiLevelType w:val="hybridMultilevel"/>
    <w:tmpl w:val="B8A65BA6"/>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6EA75D2"/>
    <w:multiLevelType w:val="hybridMultilevel"/>
    <w:tmpl w:val="BAE804E8"/>
    <w:lvl w:ilvl="0" w:tplc="871A7D00">
      <w:start w:val="1"/>
      <w:numFmt w:val="bullet"/>
      <w:lvlText w:val=""/>
      <w:lvlJc w:val="left"/>
      <w:pPr>
        <w:tabs>
          <w:tab w:val="num" w:pos="720"/>
        </w:tabs>
        <w:ind w:left="720" w:hanging="360"/>
      </w:pPr>
      <w:rPr>
        <w:rFonts w:ascii="Wingdings" w:hAnsi="Wingdings" w:hint="default"/>
      </w:rPr>
    </w:lvl>
    <w:lvl w:ilvl="1" w:tplc="FE84B2AE" w:tentative="1">
      <w:start w:val="1"/>
      <w:numFmt w:val="bullet"/>
      <w:lvlText w:val=""/>
      <w:lvlJc w:val="left"/>
      <w:pPr>
        <w:tabs>
          <w:tab w:val="num" w:pos="1440"/>
        </w:tabs>
        <w:ind w:left="1440" w:hanging="360"/>
      </w:pPr>
      <w:rPr>
        <w:rFonts w:ascii="Wingdings" w:hAnsi="Wingdings" w:hint="default"/>
      </w:rPr>
    </w:lvl>
    <w:lvl w:ilvl="2" w:tplc="69B812DC" w:tentative="1">
      <w:start w:val="1"/>
      <w:numFmt w:val="bullet"/>
      <w:lvlText w:val=""/>
      <w:lvlJc w:val="left"/>
      <w:pPr>
        <w:tabs>
          <w:tab w:val="num" w:pos="2160"/>
        </w:tabs>
        <w:ind w:left="2160" w:hanging="360"/>
      </w:pPr>
      <w:rPr>
        <w:rFonts w:ascii="Wingdings" w:hAnsi="Wingdings" w:hint="default"/>
      </w:rPr>
    </w:lvl>
    <w:lvl w:ilvl="3" w:tplc="BF7EDA24" w:tentative="1">
      <w:start w:val="1"/>
      <w:numFmt w:val="bullet"/>
      <w:lvlText w:val=""/>
      <w:lvlJc w:val="left"/>
      <w:pPr>
        <w:tabs>
          <w:tab w:val="num" w:pos="2880"/>
        </w:tabs>
        <w:ind w:left="2880" w:hanging="360"/>
      </w:pPr>
      <w:rPr>
        <w:rFonts w:ascii="Wingdings" w:hAnsi="Wingdings" w:hint="default"/>
      </w:rPr>
    </w:lvl>
    <w:lvl w:ilvl="4" w:tplc="4D286CB2" w:tentative="1">
      <w:start w:val="1"/>
      <w:numFmt w:val="bullet"/>
      <w:lvlText w:val=""/>
      <w:lvlJc w:val="left"/>
      <w:pPr>
        <w:tabs>
          <w:tab w:val="num" w:pos="3600"/>
        </w:tabs>
        <w:ind w:left="3600" w:hanging="360"/>
      </w:pPr>
      <w:rPr>
        <w:rFonts w:ascii="Wingdings" w:hAnsi="Wingdings" w:hint="default"/>
      </w:rPr>
    </w:lvl>
    <w:lvl w:ilvl="5" w:tplc="51CC6D42" w:tentative="1">
      <w:start w:val="1"/>
      <w:numFmt w:val="bullet"/>
      <w:lvlText w:val=""/>
      <w:lvlJc w:val="left"/>
      <w:pPr>
        <w:tabs>
          <w:tab w:val="num" w:pos="4320"/>
        </w:tabs>
        <w:ind w:left="4320" w:hanging="360"/>
      </w:pPr>
      <w:rPr>
        <w:rFonts w:ascii="Wingdings" w:hAnsi="Wingdings" w:hint="default"/>
      </w:rPr>
    </w:lvl>
    <w:lvl w:ilvl="6" w:tplc="14F08DC0" w:tentative="1">
      <w:start w:val="1"/>
      <w:numFmt w:val="bullet"/>
      <w:lvlText w:val=""/>
      <w:lvlJc w:val="left"/>
      <w:pPr>
        <w:tabs>
          <w:tab w:val="num" w:pos="5040"/>
        </w:tabs>
        <w:ind w:left="5040" w:hanging="360"/>
      </w:pPr>
      <w:rPr>
        <w:rFonts w:ascii="Wingdings" w:hAnsi="Wingdings" w:hint="default"/>
      </w:rPr>
    </w:lvl>
    <w:lvl w:ilvl="7" w:tplc="83E2FA86" w:tentative="1">
      <w:start w:val="1"/>
      <w:numFmt w:val="bullet"/>
      <w:lvlText w:val=""/>
      <w:lvlJc w:val="left"/>
      <w:pPr>
        <w:tabs>
          <w:tab w:val="num" w:pos="5760"/>
        </w:tabs>
        <w:ind w:left="5760" w:hanging="360"/>
      </w:pPr>
      <w:rPr>
        <w:rFonts w:ascii="Wingdings" w:hAnsi="Wingdings" w:hint="default"/>
      </w:rPr>
    </w:lvl>
    <w:lvl w:ilvl="8" w:tplc="7F58DE9E"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804C8F"/>
    <w:multiLevelType w:val="hybridMultilevel"/>
    <w:tmpl w:val="879CF582"/>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F3548A"/>
    <w:multiLevelType w:val="hybridMultilevel"/>
    <w:tmpl w:val="F7F0402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6EEC1D51"/>
    <w:multiLevelType w:val="hybridMultilevel"/>
    <w:tmpl w:val="AAEE19B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70CF03B1"/>
    <w:multiLevelType w:val="hybridMultilevel"/>
    <w:tmpl w:val="27A07028"/>
    <w:lvl w:ilvl="0" w:tplc="041F000B">
      <w:start w:val="1"/>
      <w:numFmt w:val="bullet"/>
      <w:lvlText w:val=""/>
      <w:lvlJc w:val="left"/>
      <w:pPr>
        <w:ind w:left="360" w:hanging="360"/>
      </w:pPr>
      <w:rPr>
        <w:rFonts w:ascii="Wingdings" w:hAnsi="Wingding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2" w15:restartNumberingAfterBreak="0">
    <w:nsid w:val="71D70679"/>
    <w:multiLevelType w:val="hybridMultilevel"/>
    <w:tmpl w:val="D1C05442"/>
    <w:lvl w:ilvl="0" w:tplc="041F000F">
      <w:start w:val="1"/>
      <w:numFmt w:val="decimal"/>
      <w:lvlText w:val="%1."/>
      <w:lvlJc w:val="left"/>
      <w:pPr>
        <w:ind w:left="0" w:hanging="360"/>
      </w:pPr>
      <w:rPr>
        <w:rFonts w:hint="default"/>
      </w:rPr>
    </w:lvl>
    <w:lvl w:ilvl="1" w:tplc="041F0003" w:tentative="1">
      <w:start w:val="1"/>
      <w:numFmt w:val="bullet"/>
      <w:lvlText w:val="o"/>
      <w:lvlJc w:val="left"/>
      <w:pPr>
        <w:ind w:left="720" w:hanging="360"/>
      </w:pPr>
      <w:rPr>
        <w:rFonts w:ascii="Courier New" w:hAnsi="Courier New" w:cs="Courier New" w:hint="default"/>
      </w:rPr>
    </w:lvl>
    <w:lvl w:ilvl="2" w:tplc="041F0005" w:tentative="1">
      <w:start w:val="1"/>
      <w:numFmt w:val="bullet"/>
      <w:lvlText w:val=""/>
      <w:lvlJc w:val="left"/>
      <w:pPr>
        <w:ind w:left="1440" w:hanging="360"/>
      </w:pPr>
      <w:rPr>
        <w:rFonts w:ascii="Wingdings" w:hAnsi="Wingdings" w:hint="default"/>
      </w:rPr>
    </w:lvl>
    <w:lvl w:ilvl="3" w:tplc="041F0001" w:tentative="1">
      <w:start w:val="1"/>
      <w:numFmt w:val="bullet"/>
      <w:lvlText w:val=""/>
      <w:lvlJc w:val="left"/>
      <w:pPr>
        <w:ind w:left="2160" w:hanging="360"/>
      </w:pPr>
      <w:rPr>
        <w:rFonts w:ascii="Symbol" w:hAnsi="Symbol" w:hint="default"/>
      </w:rPr>
    </w:lvl>
    <w:lvl w:ilvl="4" w:tplc="041F0003" w:tentative="1">
      <w:start w:val="1"/>
      <w:numFmt w:val="bullet"/>
      <w:lvlText w:val="o"/>
      <w:lvlJc w:val="left"/>
      <w:pPr>
        <w:ind w:left="2880" w:hanging="360"/>
      </w:pPr>
      <w:rPr>
        <w:rFonts w:ascii="Courier New" w:hAnsi="Courier New" w:cs="Courier New" w:hint="default"/>
      </w:rPr>
    </w:lvl>
    <w:lvl w:ilvl="5" w:tplc="041F0005" w:tentative="1">
      <w:start w:val="1"/>
      <w:numFmt w:val="bullet"/>
      <w:lvlText w:val=""/>
      <w:lvlJc w:val="left"/>
      <w:pPr>
        <w:ind w:left="3600" w:hanging="360"/>
      </w:pPr>
      <w:rPr>
        <w:rFonts w:ascii="Wingdings" w:hAnsi="Wingdings" w:hint="default"/>
      </w:rPr>
    </w:lvl>
    <w:lvl w:ilvl="6" w:tplc="041F0001" w:tentative="1">
      <w:start w:val="1"/>
      <w:numFmt w:val="bullet"/>
      <w:lvlText w:val=""/>
      <w:lvlJc w:val="left"/>
      <w:pPr>
        <w:ind w:left="4320" w:hanging="360"/>
      </w:pPr>
      <w:rPr>
        <w:rFonts w:ascii="Symbol" w:hAnsi="Symbol" w:hint="default"/>
      </w:rPr>
    </w:lvl>
    <w:lvl w:ilvl="7" w:tplc="041F0003" w:tentative="1">
      <w:start w:val="1"/>
      <w:numFmt w:val="bullet"/>
      <w:lvlText w:val="o"/>
      <w:lvlJc w:val="left"/>
      <w:pPr>
        <w:ind w:left="5040" w:hanging="360"/>
      </w:pPr>
      <w:rPr>
        <w:rFonts w:ascii="Courier New" w:hAnsi="Courier New" w:cs="Courier New" w:hint="default"/>
      </w:rPr>
    </w:lvl>
    <w:lvl w:ilvl="8" w:tplc="041F0005" w:tentative="1">
      <w:start w:val="1"/>
      <w:numFmt w:val="bullet"/>
      <w:lvlText w:val=""/>
      <w:lvlJc w:val="left"/>
      <w:pPr>
        <w:ind w:left="5760" w:hanging="360"/>
      </w:pPr>
      <w:rPr>
        <w:rFonts w:ascii="Wingdings" w:hAnsi="Wingdings" w:hint="default"/>
      </w:rPr>
    </w:lvl>
  </w:abstractNum>
  <w:abstractNum w:abstractNumId="43" w15:restartNumberingAfterBreak="0">
    <w:nsid w:val="72504216"/>
    <w:multiLevelType w:val="hybridMultilevel"/>
    <w:tmpl w:val="182EE056"/>
    <w:lvl w:ilvl="0" w:tplc="041F0001">
      <w:start w:val="1"/>
      <w:numFmt w:val="bullet"/>
      <w:lvlText w:val=""/>
      <w:lvlJc w:val="left"/>
      <w:pPr>
        <w:ind w:left="1431" w:hanging="360"/>
      </w:pPr>
      <w:rPr>
        <w:rFonts w:ascii="Symbol" w:hAnsi="Symbol" w:hint="default"/>
      </w:rPr>
    </w:lvl>
    <w:lvl w:ilvl="1" w:tplc="041F0003" w:tentative="1">
      <w:start w:val="1"/>
      <w:numFmt w:val="bullet"/>
      <w:lvlText w:val="o"/>
      <w:lvlJc w:val="left"/>
      <w:pPr>
        <w:ind w:left="2151" w:hanging="360"/>
      </w:pPr>
      <w:rPr>
        <w:rFonts w:ascii="Courier New" w:hAnsi="Courier New" w:cs="Courier New" w:hint="default"/>
      </w:rPr>
    </w:lvl>
    <w:lvl w:ilvl="2" w:tplc="041F0005" w:tentative="1">
      <w:start w:val="1"/>
      <w:numFmt w:val="bullet"/>
      <w:lvlText w:val=""/>
      <w:lvlJc w:val="left"/>
      <w:pPr>
        <w:ind w:left="2871" w:hanging="360"/>
      </w:pPr>
      <w:rPr>
        <w:rFonts w:ascii="Wingdings" w:hAnsi="Wingdings" w:hint="default"/>
      </w:rPr>
    </w:lvl>
    <w:lvl w:ilvl="3" w:tplc="041F0001" w:tentative="1">
      <w:start w:val="1"/>
      <w:numFmt w:val="bullet"/>
      <w:lvlText w:val=""/>
      <w:lvlJc w:val="left"/>
      <w:pPr>
        <w:ind w:left="3591" w:hanging="360"/>
      </w:pPr>
      <w:rPr>
        <w:rFonts w:ascii="Symbol" w:hAnsi="Symbol" w:hint="default"/>
      </w:rPr>
    </w:lvl>
    <w:lvl w:ilvl="4" w:tplc="041F0003" w:tentative="1">
      <w:start w:val="1"/>
      <w:numFmt w:val="bullet"/>
      <w:lvlText w:val="o"/>
      <w:lvlJc w:val="left"/>
      <w:pPr>
        <w:ind w:left="4311" w:hanging="360"/>
      </w:pPr>
      <w:rPr>
        <w:rFonts w:ascii="Courier New" w:hAnsi="Courier New" w:cs="Courier New" w:hint="default"/>
      </w:rPr>
    </w:lvl>
    <w:lvl w:ilvl="5" w:tplc="041F0005" w:tentative="1">
      <w:start w:val="1"/>
      <w:numFmt w:val="bullet"/>
      <w:lvlText w:val=""/>
      <w:lvlJc w:val="left"/>
      <w:pPr>
        <w:ind w:left="5031" w:hanging="360"/>
      </w:pPr>
      <w:rPr>
        <w:rFonts w:ascii="Wingdings" w:hAnsi="Wingdings" w:hint="default"/>
      </w:rPr>
    </w:lvl>
    <w:lvl w:ilvl="6" w:tplc="041F0001" w:tentative="1">
      <w:start w:val="1"/>
      <w:numFmt w:val="bullet"/>
      <w:lvlText w:val=""/>
      <w:lvlJc w:val="left"/>
      <w:pPr>
        <w:ind w:left="5751" w:hanging="360"/>
      </w:pPr>
      <w:rPr>
        <w:rFonts w:ascii="Symbol" w:hAnsi="Symbol" w:hint="default"/>
      </w:rPr>
    </w:lvl>
    <w:lvl w:ilvl="7" w:tplc="041F0003" w:tentative="1">
      <w:start w:val="1"/>
      <w:numFmt w:val="bullet"/>
      <w:lvlText w:val="o"/>
      <w:lvlJc w:val="left"/>
      <w:pPr>
        <w:ind w:left="6471" w:hanging="360"/>
      </w:pPr>
      <w:rPr>
        <w:rFonts w:ascii="Courier New" w:hAnsi="Courier New" w:cs="Courier New" w:hint="default"/>
      </w:rPr>
    </w:lvl>
    <w:lvl w:ilvl="8" w:tplc="041F0005" w:tentative="1">
      <w:start w:val="1"/>
      <w:numFmt w:val="bullet"/>
      <w:lvlText w:val=""/>
      <w:lvlJc w:val="left"/>
      <w:pPr>
        <w:ind w:left="7191" w:hanging="360"/>
      </w:pPr>
      <w:rPr>
        <w:rFonts w:ascii="Wingdings" w:hAnsi="Wingdings" w:hint="default"/>
      </w:rPr>
    </w:lvl>
  </w:abstractNum>
  <w:abstractNum w:abstractNumId="44" w15:restartNumberingAfterBreak="0">
    <w:nsid w:val="778A408E"/>
    <w:multiLevelType w:val="hybridMultilevel"/>
    <w:tmpl w:val="912EF984"/>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233976128">
    <w:abstractNumId w:val="7"/>
  </w:num>
  <w:num w:numId="2" w16cid:durableId="1777212557">
    <w:abstractNumId w:val="28"/>
  </w:num>
  <w:num w:numId="3" w16cid:durableId="640888615">
    <w:abstractNumId w:val="37"/>
  </w:num>
  <w:num w:numId="4" w16cid:durableId="1605529841">
    <w:abstractNumId w:val="3"/>
  </w:num>
  <w:num w:numId="5" w16cid:durableId="1677608760">
    <w:abstractNumId w:val="23"/>
  </w:num>
  <w:num w:numId="6" w16cid:durableId="1658722213">
    <w:abstractNumId w:val="10"/>
  </w:num>
  <w:num w:numId="7" w16cid:durableId="707293224">
    <w:abstractNumId w:val="4"/>
  </w:num>
  <w:num w:numId="8" w16cid:durableId="766652908">
    <w:abstractNumId w:val="31"/>
  </w:num>
  <w:num w:numId="9" w16cid:durableId="1414281493">
    <w:abstractNumId w:val="26"/>
  </w:num>
  <w:num w:numId="10" w16cid:durableId="1670714634">
    <w:abstractNumId w:val="34"/>
  </w:num>
  <w:num w:numId="11" w16cid:durableId="590436369">
    <w:abstractNumId w:val="5"/>
  </w:num>
  <w:num w:numId="12" w16cid:durableId="1764639991">
    <w:abstractNumId w:val="17"/>
  </w:num>
  <w:num w:numId="13" w16cid:durableId="2001930988">
    <w:abstractNumId w:val="19"/>
  </w:num>
  <w:num w:numId="14" w16cid:durableId="996423565">
    <w:abstractNumId w:val="25"/>
  </w:num>
  <w:num w:numId="15" w16cid:durableId="754518410">
    <w:abstractNumId w:val="22"/>
  </w:num>
  <w:num w:numId="16" w16cid:durableId="1157724868">
    <w:abstractNumId w:val="8"/>
  </w:num>
  <w:num w:numId="17" w16cid:durableId="354619046">
    <w:abstractNumId w:val="27"/>
  </w:num>
  <w:num w:numId="18" w16cid:durableId="1524436885">
    <w:abstractNumId w:val="38"/>
  </w:num>
  <w:num w:numId="19" w16cid:durableId="1031957686">
    <w:abstractNumId w:val="12"/>
  </w:num>
  <w:num w:numId="20" w16cid:durableId="1704557210">
    <w:abstractNumId w:val="20"/>
  </w:num>
  <w:num w:numId="21" w16cid:durableId="1234510247">
    <w:abstractNumId w:val="14"/>
  </w:num>
  <w:num w:numId="22" w16cid:durableId="163666397">
    <w:abstractNumId w:val="43"/>
  </w:num>
  <w:num w:numId="23" w16cid:durableId="1609385480">
    <w:abstractNumId w:val="33"/>
  </w:num>
  <w:num w:numId="24" w16cid:durableId="83961631">
    <w:abstractNumId w:val="35"/>
  </w:num>
  <w:num w:numId="25" w16cid:durableId="612712018">
    <w:abstractNumId w:val="9"/>
  </w:num>
  <w:num w:numId="26" w16cid:durableId="263147205">
    <w:abstractNumId w:val="1"/>
  </w:num>
  <w:num w:numId="27" w16cid:durableId="507059297">
    <w:abstractNumId w:val="18"/>
  </w:num>
  <w:num w:numId="28" w16cid:durableId="856965562">
    <w:abstractNumId w:val="2"/>
  </w:num>
  <w:num w:numId="29" w16cid:durableId="1473906380">
    <w:abstractNumId w:val="44"/>
  </w:num>
  <w:num w:numId="30" w16cid:durableId="1503357670">
    <w:abstractNumId w:val="30"/>
  </w:num>
  <w:num w:numId="31" w16cid:durableId="1878155817">
    <w:abstractNumId w:val="21"/>
  </w:num>
  <w:num w:numId="32" w16cid:durableId="1224872561">
    <w:abstractNumId w:val="41"/>
  </w:num>
  <w:num w:numId="33" w16cid:durableId="449518920">
    <w:abstractNumId w:val="6"/>
  </w:num>
  <w:num w:numId="34" w16cid:durableId="1927106725">
    <w:abstractNumId w:val="13"/>
  </w:num>
  <w:num w:numId="35" w16cid:durableId="1954046726">
    <w:abstractNumId w:val="15"/>
  </w:num>
  <w:num w:numId="36" w16cid:durableId="1491746870">
    <w:abstractNumId w:val="29"/>
  </w:num>
  <w:num w:numId="37" w16cid:durableId="660815751">
    <w:abstractNumId w:val="40"/>
  </w:num>
  <w:num w:numId="38" w16cid:durableId="1038621432">
    <w:abstractNumId w:val="36"/>
  </w:num>
  <w:num w:numId="39" w16cid:durableId="512038062">
    <w:abstractNumId w:val="42"/>
  </w:num>
  <w:num w:numId="40" w16cid:durableId="1789350023">
    <w:abstractNumId w:val="39"/>
  </w:num>
  <w:num w:numId="41" w16cid:durableId="1090585207">
    <w:abstractNumId w:val="0"/>
  </w:num>
  <w:num w:numId="42" w16cid:durableId="775557572">
    <w:abstractNumId w:val="11"/>
  </w:num>
  <w:num w:numId="43" w16cid:durableId="921644778">
    <w:abstractNumId w:val="24"/>
  </w:num>
  <w:num w:numId="44" w16cid:durableId="1307320310">
    <w:abstractNumId w:val="32"/>
  </w:num>
  <w:num w:numId="45" w16cid:durableId="7431450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41D0"/>
    <w:rsid w:val="000001ED"/>
    <w:rsid w:val="000050F8"/>
    <w:rsid w:val="00005553"/>
    <w:rsid w:val="0000719A"/>
    <w:rsid w:val="00010A24"/>
    <w:rsid w:val="00011667"/>
    <w:rsid w:val="000119C4"/>
    <w:rsid w:val="000123FD"/>
    <w:rsid w:val="000156AF"/>
    <w:rsid w:val="000227D6"/>
    <w:rsid w:val="00023333"/>
    <w:rsid w:val="000262EF"/>
    <w:rsid w:val="00027E54"/>
    <w:rsid w:val="00030CCC"/>
    <w:rsid w:val="00031FA4"/>
    <w:rsid w:val="00032F6F"/>
    <w:rsid w:val="0003353B"/>
    <w:rsid w:val="00043B9E"/>
    <w:rsid w:val="000472F8"/>
    <w:rsid w:val="000630C8"/>
    <w:rsid w:val="000672DE"/>
    <w:rsid w:val="00075946"/>
    <w:rsid w:val="00085297"/>
    <w:rsid w:val="0008743A"/>
    <w:rsid w:val="000932E1"/>
    <w:rsid w:val="00095DE2"/>
    <w:rsid w:val="000A6B28"/>
    <w:rsid w:val="000B22DD"/>
    <w:rsid w:val="000B2330"/>
    <w:rsid w:val="000B5E60"/>
    <w:rsid w:val="000B6900"/>
    <w:rsid w:val="000C72CB"/>
    <w:rsid w:val="000D3E00"/>
    <w:rsid w:val="000D56DB"/>
    <w:rsid w:val="000E6A42"/>
    <w:rsid w:val="000F07D4"/>
    <w:rsid w:val="000F21E6"/>
    <w:rsid w:val="000F4492"/>
    <w:rsid w:val="000F486C"/>
    <w:rsid w:val="00102B84"/>
    <w:rsid w:val="001044F1"/>
    <w:rsid w:val="00106731"/>
    <w:rsid w:val="00107A40"/>
    <w:rsid w:val="0012612B"/>
    <w:rsid w:val="001279AB"/>
    <w:rsid w:val="0013146C"/>
    <w:rsid w:val="001359DC"/>
    <w:rsid w:val="00136F26"/>
    <w:rsid w:val="00142D35"/>
    <w:rsid w:val="001435C6"/>
    <w:rsid w:val="0014398A"/>
    <w:rsid w:val="0014404A"/>
    <w:rsid w:val="00146876"/>
    <w:rsid w:val="00153959"/>
    <w:rsid w:val="001634EC"/>
    <w:rsid w:val="0016669A"/>
    <w:rsid w:val="001714AC"/>
    <w:rsid w:val="00174972"/>
    <w:rsid w:val="00180DBD"/>
    <w:rsid w:val="00192FFE"/>
    <w:rsid w:val="001A050D"/>
    <w:rsid w:val="001A0B22"/>
    <w:rsid w:val="001A402C"/>
    <w:rsid w:val="001B1893"/>
    <w:rsid w:val="001B2321"/>
    <w:rsid w:val="001B6887"/>
    <w:rsid w:val="001C0955"/>
    <w:rsid w:val="001C3905"/>
    <w:rsid w:val="001C70C7"/>
    <w:rsid w:val="001D60C4"/>
    <w:rsid w:val="001D6BEF"/>
    <w:rsid w:val="001E0B7F"/>
    <w:rsid w:val="001E5B85"/>
    <w:rsid w:val="0020094D"/>
    <w:rsid w:val="002014D0"/>
    <w:rsid w:val="002055D7"/>
    <w:rsid w:val="00211E84"/>
    <w:rsid w:val="00215BE8"/>
    <w:rsid w:val="00221941"/>
    <w:rsid w:val="0023213D"/>
    <w:rsid w:val="0023405F"/>
    <w:rsid w:val="00237892"/>
    <w:rsid w:val="0024091C"/>
    <w:rsid w:val="00240D2B"/>
    <w:rsid w:val="0024632A"/>
    <w:rsid w:val="002470B5"/>
    <w:rsid w:val="002529B6"/>
    <w:rsid w:val="002542D9"/>
    <w:rsid w:val="00265F6D"/>
    <w:rsid w:val="002702D7"/>
    <w:rsid w:val="00271C6A"/>
    <w:rsid w:val="0027442B"/>
    <w:rsid w:val="0027700C"/>
    <w:rsid w:val="002801DA"/>
    <w:rsid w:val="00282094"/>
    <w:rsid w:val="002826FB"/>
    <w:rsid w:val="002850E0"/>
    <w:rsid w:val="002868EF"/>
    <w:rsid w:val="00291526"/>
    <w:rsid w:val="00292633"/>
    <w:rsid w:val="00292D8B"/>
    <w:rsid w:val="00293C8D"/>
    <w:rsid w:val="002A01C3"/>
    <w:rsid w:val="002A16D4"/>
    <w:rsid w:val="002B0ACB"/>
    <w:rsid w:val="002B2446"/>
    <w:rsid w:val="002B4F0F"/>
    <w:rsid w:val="002B6F79"/>
    <w:rsid w:val="002C05C0"/>
    <w:rsid w:val="002C0794"/>
    <w:rsid w:val="002C0A2F"/>
    <w:rsid w:val="002C27D6"/>
    <w:rsid w:val="002C3970"/>
    <w:rsid w:val="002D363E"/>
    <w:rsid w:val="002F0B98"/>
    <w:rsid w:val="002F2A3F"/>
    <w:rsid w:val="002F441D"/>
    <w:rsid w:val="002F6903"/>
    <w:rsid w:val="00301D75"/>
    <w:rsid w:val="003041D0"/>
    <w:rsid w:val="0030510E"/>
    <w:rsid w:val="00305F17"/>
    <w:rsid w:val="00314538"/>
    <w:rsid w:val="0031491A"/>
    <w:rsid w:val="00317AE9"/>
    <w:rsid w:val="00323638"/>
    <w:rsid w:val="00325F3E"/>
    <w:rsid w:val="00327F92"/>
    <w:rsid w:val="00334107"/>
    <w:rsid w:val="0033645F"/>
    <w:rsid w:val="00336643"/>
    <w:rsid w:val="00340F53"/>
    <w:rsid w:val="003417D6"/>
    <w:rsid w:val="00344783"/>
    <w:rsid w:val="0034770D"/>
    <w:rsid w:val="00351BFB"/>
    <w:rsid w:val="00352FFA"/>
    <w:rsid w:val="00360FDA"/>
    <w:rsid w:val="0036153E"/>
    <w:rsid w:val="003640C4"/>
    <w:rsid w:val="0036786A"/>
    <w:rsid w:val="00371870"/>
    <w:rsid w:val="003830E0"/>
    <w:rsid w:val="00383269"/>
    <w:rsid w:val="00383A43"/>
    <w:rsid w:val="00384BB1"/>
    <w:rsid w:val="003876F1"/>
    <w:rsid w:val="00396327"/>
    <w:rsid w:val="00397667"/>
    <w:rsid w:val="003A1A13"/>
    <w:rsid w:val="003A720B"/>
    <w:rsid w:val="003B01A0"/>
    <w:rsid w:val="003B01A6"/>
    <w:rsid w:val="003B615A"/>
    <w:rsid w:val="003C1A54"/>
    <w:rsid w:val="003C30E0"/>
    <w:rsid w:val="003D277B"/>
    <w:rsid w:val="003D321E"/>
    <w:rsid w:val="003E30D6"/>
    <w:rsid w:val="003E4BF4"/>
    <w:rsid w:val="003E6469"/>
    <w:rsid w:val="003E7693"/>
    <w:rsid w:val="003F5217"/>
    <w:rsid w:val="003F55F4"/>
    <w:rsid w:val="003F6086"/>
    <w:rsid w:val="003F65C9"/>
    <w:rsid w:val="00404C9A"/>
    <w:rsid w:val="004106B2"/>
    <w:rsid w:val="004156FC"/>
    <w:rsid w:val="004157EA"/>
    <w:rsid w:val="0041666C"/>
    <w:rsid w:val="00426CD6"/>
    <w:rsid w:val="00427F56"/>
    <w:rsid w:val="004309B4"/>
    <w:rsid w:val="00435691"/>
    <w:rsid w:val="004428C7"/>
    <w:rsid w:val="00447B48"/>
    <w:rsid w:val="00454B4C"/>
    <w:rsid w:val="00455CB5"/>
    <w:rsid w:val="0045707C"/>
    <w:rsid w:val="00461A89"/>
    <w:rsid w:val="004627C5"/>
    <w:rsid w:val="00467B15"/>
    <w:rsid w:val="00471B22"/>
    <w:rsid w:val="004734AF"/>
    <w:rsid w:val="0049028B"/>
    <w:rsid w:val="00491555"/>
    <w:rsid w:val="00494563"/>
    <w:rsid w:val="00495BCA"/>
    <w:rsid w:val="004A6E43"/>
    <w:rsid w:val="004B0DB4"/>
    <w:rsid w:val="004B3163"/>
    <w:rsid w:val="004D1AC4"/>
    <w:rsid w:val="004D5374"/>
    <w:rsid w:val="004E0A15"/>
    <w:rsid w:val="004F051A"/>
    <w:rsid w:val="004F0BF0"/>
    <w:rsid w:val="004F5FAE"/>
    <w:rsid w:val="00501EBD"/>
    <w:rsid w:val="00501FFC"/>
    <w:rsid w:val="00505711"/>
    <w:rsid w:val="0052188F"/>
    <w:rsid w:val="00521AF5"/>
    <w:rsid w:val="00526BC0"/>
    <w:rsid w:val="00527AC7"/>
    <w:rsid w:val="005543AE"/>
    <w:rsid w:val="00556741"/>
    <w:rsid w:val="00564790"/>
    <w:rsid w:val="00572C48"/>
    <w:rsid w:val="005925DC"/>
    <w:rsid w:val="005961EC"/>
    <w:rsid w:val="005A1D17"/>
    <w:rsid w:val="005A395A"/>
    <w:rsid w:val="005B0392"/>
    <w:rsid w:val="005B74A5"/>
    <w:rsid w:val="005C2450"/>
    <w:rsid w:val="005C7F29"/>
    <w:rsid w:val="005D0229"/>
    <w:rsid w:val="005D09A4"/>
    <w:rsid w:val="005D0E15"/>
    <w:rsid w:val="005D0EE8"/>
    <w:rsid w:val="005D45A4"/>
    <w:rsid w:val="005D60D8"/>
    <w:rsid w:val="005E1A1B"/>
    <w:rsid w:val="005F0298"/>
    <w:rsid w:val="005F51E5"/>
    <w:rsid w:val="005F6916"/>
    <w:rsid w:val="005F78A2"/>
    <w:rsid w:val="00601A28"/>
    <w:rsid w:val="006022DA"/>
    <w:rsid w:val="0061014D"/>
    <w:rsid w:val="006179F1"/>
    <w:rsid w:val="00617F5C"/>
    <w:rsid w:val="00623AE5"/>
    <w:rsid w:val="0062417D"/>
    <w:rsid w:val="0063221D"/>
    <w:rsid w:val="006346E6"/>
    <w:rsid w:val="006539B8"/>
    <w:rsid w:val="00676FAF"/>
    <w:rsid w:val="0067798D"/>
    <w:rsid w:val="00681397"/>
    <w:rsid w:val="00685B53"/>
    <w:rsid w:val="006B36FC"/>
    <w:rsid w:val="006D08E4"/>
    <w:rsid w:val="006D3A55"/>
    <w:rsid w:val="006E107C"/>
    <w:rsid w:val="006F7287"/>
    <w:rsid w:val="007014EB"/>
    <w:rsid w:val="00701D0C"/>
    <w:rsid w:val="007038ED"/>
    <w:rsid w:val="007072CF"/>
    <w:rsid w:val="00710828"/>
    <w:rsid w:val="0071123A"/>
    <w:rsid w:val="00715B77"/>
    <w:rsid w:val="00716E7C"/>
    <w:rsid w:val="0072571D"/>
    <w:rsid w:val="00731EB2"/>
    <w:rsid w:val="00736E9E"/>
    <w:rsid w:val="00736FA6"/>
    <w:rsid w:val="007414C1"/>
    <w:rsid w:val="007468D8"/>
    <w:rsid w:val="00746917"/>
    <w:rsid w:val="00747391"/>
    <w:rsid w:val="007609F1"/>
    <w:rsid w:val="007610D6"/>
    <w:rsid w:val="007874A7"/>
    <w:rsid w:val="007918A8"/>
    <w:rsid w:val="00792444"/>
    <w:rsid w:val="0079305F"/>
    <w:rsid w:val="00795312"/>
    <w:rsid w:val="00796B2C"/>
    <w:rsid w:val="007A6F1E"/>
    <w:rsid w:val="007A7FB5"/>
    <w:rsid w:val="007C0172"/>
    <w:rsid w:val="007C3279"/>
    <w:rsid w:val="007C4C6B"/>
    <w:rsid w:val="007C6A1E"/>
    <w:rsid w:val="007C7686"/>
    <w:rsid w:val="007D007C"/>
    <w:rsid w:val="007D4E02"/>
    <w:rsid w:val="007D5584"/>
    <w:rsid w:val="007E3904"/>
    <w:rsid w:val="007E48B7"/>
    <w:rsid w:val="007E5297"/>
    <w:rsid w:val="007F1689"/>
    <w:rsid w:val="007F6057"/>
    <w:rsid w:val="00807ED5"/>
    <w:rsid w:val="0081106A"/>
    <w:rsid w:val="00811C2D"/>
    <w:rsid w:val="008174E5"/>
    <w:rsid w:val="00822854"/>
    <w:rsid w:val="008257FC"/>
    <w:rsid w:val="008310F1"/>
    <w:rsid w:val="00837FA6"/>
    <w:rsid w:val="00840D95"/>
    <w:rsid w:val="00852270"/>
    <w:rsid w:val="00852933"/>
    <w:rsid w:val="008533F2"/>
    <w:rsid w:val="00861859"/>
    <w:rsid w:val="008665E8"/>
    <w:rsid w:val="00872545"/>
    <w:rsid w:val="00873DDA"/>
    <w:rsid w:val="00873F43"/>
    <w:rsid w:val="00877F0C"/>
    <w:rsid w:val="00877F88"/>
    <w:rsid w:val="008827C8"/>
    <w:rsid w:val="008901DF"/>
    <w:rsid w:val="0089338E"/>
    <w:rsid w:val="008955DA"/>
    <w:rsid w:val="0089579E"/>
    <w:rsid w:val="008A358B"/>
    <w:rsid w:val="008A5DF1"/>
    <w:rsid w:val="008B068E"/>
    <w:rsid w:val="008B09DB"/>
    <w:rsid w:val="008B3341"/>
    <w:rsid w:val="008B4EE8"/>
    <w:rsid w:val="008B58D3"/>
    <w:rsid w:val="008C0ACC"/>
    <w:rsid w:val="008C28A9"/>
    <w:rsid w:val="008D7090"/>
    <w:rsid w:val="008E2176"/>
    <w:rsid w:val="008E3457"/>
    <w:rsid w:val="008E561C"/>
    <w:rsid w:val="008E5F47"/>
    <w:rsid w:val="008E7923"/>
    <w:rsid w:val="008F3287"/>
    <w:rsid w:val="008F3A54"/>
    <w:rsid w:val="00900AF9"/>
    <w:rsid w:val="00911761"/>
    <w:rsid w:val="00915B2A"/>
    <w:rsid w:val="0092403F"/>
    <w:rsid w:val="00925A03"/>
    <w:rsid w:val="00927C76"/>
    <w:rsid w:val="00931D87"/>
    <w:rsid w:val="0093261A"/>
    <w:rsid w:val="009369B4"/>
    <w:rsid w:val="00942A98"/>
    <w:rsid w:val="0095496F"/>
    <w:rsid w:val="00957B20"/>
    <w:rsid w:val="00960CE3"/>
    <w:rsid w:val="00963398"/>
    <w:rsid w:val="00967EFA"/>
    <w:rsid w:val="00974846"/>
    <w:rsid w:val="00975E43"/>
    <w:rsid w:val="00984EF4"/>
    <w:rsid w:val="009854D5"/>
    <w:rsid w:val="0099077A"/>
    <w:rsid w:val="009A4DA3"/>
    <w:rsid w:val="009B15DD"/>
    <w:rsid w:val="009B3180"/>
    <w:rsid w:val="009B45BA"/>
    <w:rsid w:val="009B7533"/>
    <w:rsid w:val="009C1469"/>
    <w:rsid w:val="009C49EA"/>
    <w:rsid w:val="009C6ED2"/>
    <w:rsid w:val="009D01AE"/>
    <w:rsid w:val="009D0247"/>
    <w:rsid w:val="009D1EB6"/>
    <w:rsid w:val="009D4178"/>
    <w:rsid w:val="009D6076"/>
    <w:rsid w:val="009D7581"/>
    <w:rsid w:val="009E2004"/>
    <w:rsid w:val="009F11F2"/>
    <w:rsid w:val="009F3C0D"/>
    <w:rsid w:val="00A062DB"/>
    <w:rsid w:val="00A20CD7"/>
    <w:rsid w:val="00A26709"/>
    <w:rsid w:val="00A313D6"/>
    <w:rsid w:val="00A3181B"/>
    <w:rsid w:val="00A31CF5"/>
    <w:rsid w:val="00A33EE2"/>
    <w:rsid w:val="00A3420F"/>
    <w:rsid w:val="00A43E65"/>
    <w:rsid w:val="00A43F97"/>
    <w:rsid w:val="00A446B7"/>
    <w:rsid w:val="00A55312"/>
    <w:rsid w:val="00A56CE2"/>
    <w:rsid w:val="00A6171F"/>
    <w:rsid w:val="00A6673F"/>
    <w:rsid w:val="00A74109"/>
    <w:rsid w:val="00A74CDC"/>
    <w:rsid w:val="00A75D78"/>
    <w:rsid w:val="00A77F7F"/>
    <w:rsid w:val="00A805F4"/>
    <w:rsid w:val="00A87443"/>
    <w:rsid w:val="00A927FC"/>
    <w:rsid w:val="00A97D15"/>
    <w:rsid w:val="00AB4E9A"/>
    <w:rsid w:val="00AC274F"/>
    <w:rsid w:val="00AC51F4"/>
    <w:rsid w:val="00AC6B6D"/>
    <w:rsid w:val="00AE3A77"/>
    <w:rsid w:val="00AE521C"/>
    <w:rsid w:val="00AF229E"/>
    <w:rsid w:val="00AF2A36"/>
    <w:rsid w:val="00AF4309"/>
    <w:rsid w:val="00AF48CC"/>
    <w:rsid w:val="00B06A2B"/>
    <w:rsid w:val="00B117B4"/>
    <w:rsid w:val="00B130F6"/>
    <w:rsid w:val="00B3033B"/>
    <w:rsid w:val="00B308CD"/>
    <w:rsid w:val="00B3404B"/>
    <w:rsid w:val="00B47801"/>
    <w:rsid w:val="00B52E27"/>
    <w:rsid w:val="00B55658"/>
    <w:rsid w:val="00B5684E"/>
    <w:rsid w:val="00B62318"/>
    <w:rsid w:val="00B64826"/>
    <w:rsid w:val="00B732F2"/>
    <w:rsid w:val="00B753C3"/>
    <w:rsid w:val="00B8283B"/>
    <w:rsid w:val="00B8284D"/>
    <w:rsid w:val="00B83B5A"/>
    <w:rsid w:val="00B872F7"/>
    <w:rsid w:val="00B97A72"/>
    <w:rsid w:val="00BA091D"/>
    <w:rsid w:val="00BA0B8B"/>
    <w:rsid w:val="00BB0D2F"/>
    <w:rsid w:val="00BB3AFC"/>
    <w:rsid w:val="00BC01B7"/>
    <w:rsid w:val="00BD7F55"/>
    <w:rsid w:val="00BE77FA"/>
    <w:rsid w:val="00BF1516"/>
    <w:rsid w:val="00BF2F44"/>
    <w:rsid w:val="00BF4BFE"/>
    <w:rsid w:val="00C01930"/>
    <w:rsid w:val="00C04FF6"/>
    <w:rsid w:val="00C067DA"/>
    <w:rsid w:val="00C205A2"/>
    <w:rsid w:val="00C23344"/>
    <w:rsid w:val="00C27FC9"/>
    <w:rsid w:val="00C35570"/>
    <w:rsid w:val="00C36A51"/>
    <w:rsid w:val="00C452C8"/>
    <w:rsid w:val="00C5391E"/>
    <w:rsid w:val="00C61144"/>
    <w:rsid w:val="00C61BD8"/>
    <w:rsid w:val="00C63ED7"/>
    <w:rsid w:val="00C64D78"/>
    <w:rsid w:val="00C65A14"/>
    <w:rsid w:val="00C66D0B"/>
    <w:rsid w:val="00C72C71"/>
    <w:rsid w:val="00C76A33"/>
    <w:rsid w:val="00C7767E"/>
    <w:rsid w:val="00C8159D"/>
    <w:rsid w:val="00C838F1"/>
    <w:rsid w:val="00C848C5"/>
    <w:rsid w:val="00C87117"/>
    <w:rsid w:val="00C94918"/>
    <w:rsid w:val="00C949A7"/>
    <w:rsid w:val="00CA1504"/>
    <w:rsid w:val="00CA2972"/>
    <w:rsid w:val="00CB2B31"/>
    <w:rsid w:val="00CB427B"/>
    <w:rsid w:val="00CB58E2"/>
    <w:rsid w:val="00CB6277"/>
    <w:rsid w:val="00CB7BF4"/>
    <w:rsid w:val="00CC1071"/>
    <w:rsid w:val="00CC4F71"/>
    <w:rsid w:val="00CD07E3"/>
    <w:rsid w:val="00CD5520"/>
    <w:rsid w:val="00CE09D8"/>
    <w:rsid w:val="00CE43DB"/>
    <w:rsid w:val="00CF7C17"/>
    <w:rsid w:val="00D01B43"/>
    <w:rsid w:val="00D10792"/>
    <w:rsid w:val="00D13D72"/>
    <w:rsid w:val="00D1415C"/>
    <w:rsid w:val="00D17B9B"/>
    <w:rsid w:val="00D24476"/>
    <w:rsid w:val="00D263D7"/>
    <w:rsid w:val="00D31CD1"/>
    <w:rsid w:val="00D3577E"/>
    <w:rsid w:val="00D361E6"/>
    <w:rsid w:val="00D40F80"/>
    <w:rsid w:val="00D50200"/>
    <w:rsid w:val="00D55C97"/>
    <w:rsid w:val="00D6297B"/>
    <w:rsid w:val="00D63C9C"/>
    <w:rsid w:val="00D64C7A"/>
    <w:rsid w:val="00D65D72"/>
    <w:rsid w:val="00D65F4A"/>
    <w:rsid w:val="00D65F7C"/>
    <w:rsid w:val="00D777CD"/>
    <w:rsid w:val="00D802B0"/>
    <w:rsid w:val="00D82DAE"/>
    <w:rsid w:val="00D83E21"/>
    <w:rsid w:val="00D9147D"/>
    <w:rsid w:val="00D945F3"/>
    <w:rsid w:val="00DA2BDA"/>
    <w:rsid w:val="00DA4843"/>
    <w:rsid w:val="00DA6EB3"/>
    <w:rsid w:val="00DB0B78"/>
    <w:rsid w:val="00DB336F"/>
    <w:rsid w:val="00DB7003"/>
    <w:rsid w:val="00DC6802"/>
    <w:rsid w:val="00DC6C1A"/>
    <w:rsid w:val="00DD2128"/>
    <w:rsid w:val="00DD2F5E"/>
    <w:rsid w:val="00DD4193"/>
    <w:rsid w:val="00DF1D19"/>
    <w:rsid w:val="00DF24EC"/>
    <w:rsid w:val="00DF4533"/>
    <w:rsid w:val="00DF48C5"/>
    <w:rsid w:val="00DF7E24"/>
    <w:rsid w:val="00DF7F92"/>
    <w:rsid w:val="00E00DAF"/>
    <w:rsid w:val="00E0131C"/>
    <w:rsid w:val="00E02FBD"/>
    <w:rsid w:val="00E0586F"/>
    <w:rsid w:val="00E106B0"/>
    <w:rsid w:val="00E138DD"/>
    <w:rsid w:val="00E13F99"/>
    <w:rsid w:val="00E15079"/>
    <w:rsid w:val="00E21146"/>
    <w:rsid w:val="00E22A7D"/>
    <w:rsid w:val="00E27739"/>
    <w:rsid w:val="00E32770"/>
    <w:rsid w:val="00E53856"/>
    <w:rsid w:val="00E54835"/>
    <w:rsid w:val="00E56FB4"/>
    <w:rsid w:val="00E64FB9"/>
    <w:rsid w:val="00E67EE1"/>
    <w:rsid w:val="00E7176F"/>
    <w:rsid w:val="00E725C6"/>
    <w:rsid w:val="00E76A2F"/>
    <w:rsid w:val="00E8179C"/>
    <w:rsid w:val="00E832A1"/>
    <w:rsid w:val="00E8411E"/>
    <w:rsid w:val="00E86EDA"/>
    <w:rsid w:val="00E954F6"/>
    <w:rsid w:val="00E95BC6"/>
    <w:rsid w:val="00E97CCA"/>
    <w:rsid w:val="00EA3626"/>
    <w:rsid w:val="00EC15DE"/>
    <w:rsid w:val="00EC1E80"/>
    <w:rsid w:val="00ED3F84"/>
    <w:rsid w:val="00EE0C00"/>
    <w:rsid w:val="00EE5E2A"/>
    <w:rsid w:val="00EE5EFC"/>
    <w:rsid w:val="00EE7D0A"/>
    <w:rsid w:val="00EF4A55"/>
    <w:rsid w:val="00EF4CEB"/>
    <w:rsid w:val="00F00A0B"/>
    <w:rsid w:val="00F07741"/>
    <w:rsid w:val="00F11FD2"/>
    <w:rsid w:val="00F16E85"/>
    <w:rsid w:val="00F22544"/>
    <w:rsid w:val="00F34939"/>
    <w:rsid w:val="00F358CB"/>
    <w:rsid w:val="00F46D03"/>
    <w:rsid w:val="00F518CB"/>
    <w:rsid w:val="00F553F0"/>
    <w:rsid w:val="00F6166D"/>
    <w:rsid w:val="00F624CB"/>
    <w:rsid w:val="00F837B9"/>
    <w:rsid w:val="00F93501"/>
    <w:rsid w:val="00F97C6A"/>
    <w:rsid w:val="00FA0E07"/>
    <w:rsid w:val="00FC2383"/>
    <w:rsid w:val="00FC378A"/>
    <w:rsid w:val="00FC4679"/>
    <w:rsid w:val="00FD7A07"/>
    <w:rsid w:val="00FE2836"/>
    <w:rsid w:val="00FE29C3"/>
    <w:rsid w:val="00FF0785"/>
    <w:rsid w:val="00FF11F4"/>
    <w:rsid w:val="00FF61A5"/>
    <w:rsid w:val="00FF77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9AE3D"/>
  <w15:docId w15:val="{84D21A54-99AC-4DDB-AD97-1D783EECF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D15"/>
    <w:pPr>
      <w:spacing w:after="100" w:line="252" w:lineRule="auto"/>
    </w:pPr>
    <w:rPr>
      <w:rFonts w:ascii="Calibri" w:hAnsi="Calibri"/>
      <w:sz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nhideWhenUsed/>
    <w:rsid w:val="00501EBD"/>
    <w:pPr>
      <w:tabs>
        <w:tab w:val="center" w:pos="4536"/>
        <w:tab w:val="right" w:pos="9072"/>
      </w:tabs>
      <w:spacing w:after="0" w:line="240" w:lineRule="auto"/>
    </w:pPr>
  </w:style>
  <w:style w:type="character" w:customStyle="1" w:styleId="stBilgiChar">
    <w:name w:val="Üst Bilgi Char"/>
    <w:basedOn w:val="VarsaylanParagrafYazTipi"/>
    <w:link w:val="stBilgi"/>
    <w:rsid w:val="00501EBD"/>
  </w:style>
  <w:style w:type="paragraph" w:styleId="AltBilgi">
    <w:name w:val="footer"/>
    <w:basedOn w:val="Normal"/>
    <w:link w:val="AltBilgiChar"/>
    <w:uiPriority w:val="99"/>
    <w:unhideWhenUsed/>
    <w:rsid w:val="00501EB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01EBD"/>
  </w:style>
  <w:style w:type="paragraph" w:styleId="BalonMetni">
    <w:name w:val="Balloon Text"/>
    <w:basedOn w:val="Normal"/>
    <w:link w:val="BalonMetniChar"/>
    <w:uiPriority w:val="99"/>
    <w:semiHidden/>
    <w:unhideWhenUsed/>
    <w:rsid w:val="00501EB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01EBD"/>
    <w:rPr>
      <w:rFonts w:ascii="Tahoma" w:hAnsi="Tahoma" w:cs="Tahoma"/>
      <w:sz w:val="16"/>
      <w:szCs w:val="16"/>
    </w:rPr>
  </w:style>
  <w:style w:type="paragraph" w:styleId="KonuBal">
    <w:name w:val="Title"/>
    <w:basedOn w:val="Normal"/>
    <w:next w:val="Normal"/>
    <w:link w:val="KonuBalChar"/>
    <w:uiPriority w:val="10"/>
    <w:qFormat/>
    <w:rsid w:val="001044F1"/>
    <w:pPr>
      <w:keepNext/>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8364A"/>
      <w:spacing w:val="5"/>
      <w:kern w:val="28"/>
      <w:sz w:val="32"/>
      <w:szCs w:val="52"/>
      <w:lang w:eastAsia="tr-TR"/>
    </w:rPr>
  </w:style>
  <w:style w:type="character" w:customStyle="1" w:styleId="KonuBalChar">
    <w:name w:val="Konu Başlığı Char"/>
    <w:basedOn w:val="VarsaylanParagrafYazTipi"/>
    <w:link w:val="KonuBal"/>
    <w:uiPriority w:val="10"/>
    <w:rsid w:val="001044F1"/>
    <w:rPr>
      <w:rFonts w:asciiTheme="majorHAnsi" w:eastAsiaTheme="majorEastAsia" w:hAnsiTheme="majorHAnsi" w:cstheme="majorBidi"/>
      <w:color w:val="17365D" w:themeColor="text2" w:themeShade="BF"/>
      <w:spacing w:val="5"/>
      <w:kern w:val="28"/>
      <w:sz w:val="52"/>
      <w:szCs w:val="52"/>
      <w:lang w:eastAsia="tr-TR"/>
    </w:rPr>
  </w:style>
  <w:style w:type="paragraph" w:styleId="Altyaz">
    <w:name w:val="Subtitle"/>
    <w:basedOn w:val="Normal"/>
    <w:next w:val="Normal"/>
    <w:link w:val="AltyazChar"/>
    <w:uiPriority w:val="11"/>
    <w:qFormat/>
    <w:rsid w:val="001044F1"/>
    <w:pPr>
      <w:numPr>
        <w:ilvl w:val="1"/>
      </w:numPr>
    </w:pPr>
    <w:rPr>
      <w:rFonts w:asciiTheme="majorHAnsi" w:eastAsiaTheme="majorEastAsia" w:hAnsiTheme="majorHAnsi" w:cstheme="majorBidi"/>
      <w:i/>
      <w:iCs/>
      <w:color w:val="4F81BD" w:themeColor="accent1"/>
      <w:spacing w:val="15"/>
      <w:sz w:val="24"/>
      <w:szCs w:val="24"/>
      <w:lang w:eastAsia="tr-TR"/>
    </w:rPr>
  </w:style>
  <w:style w:type="character" w:customStyle="1" w:styleId="AltyazChar">
    <w:name w:val="Altyazı Char"/>
    <w:basedOn w:val="VarsaylanParagrafYazTipi"/>
    <w:link w:val="Altyaz"/>
    <w:uiPriority w:val="11"/>
    <w:rsid w:val="001044F1"/>
    <w:rPr>
      <w:rFonts w:asciiTheme="majorHAnsi" w:eastAsiaTheme="majorEastAsia" w:hAnsiTheme="majorHAnsi" w:cstheme="majorBidi"/>
      <w:i/>
      <w:iCs/>
      <w:color w:val="4F81BD" w:themeColor="accent1"/>
      <w:spacing w:val="15"/>
      <w:sz w:val="24"/>
      <w:szCs w:val="24"/>
      <w:lang w:eastAsia="tr-TR"/>
    </w:rPr>
  </w:style>
  <w:style w:type="table" w:styleId="TabloKlavuzu">
    <w:name w:val="Table Grid"/>
    <w:basedOn w:val="NormalTablo"/>
    <w:uiPriority w:val="59"/>
    <w:rsid w:val="00347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D60D8"/>
    <w:pPr>
      <w:spacing w:before="100" w:beforeAutospacing="1" w:after="100" w:afterAutospacing="1" w:line="240" w:lineRule="auto"/>
    </w:pPr>
    <w:rPr>
      <w:rFonts w:ascii="Times New Roman" w:eastAsiaTheme="minorEastAsia" w:hAnsi="Times New Roman" w:cs="Times New Roman"/>
      <w:sz w:val="24"/>
      <w:szCs w:val="24"/>
      <w:lang w:eastAsia="tr-TR"/>
    </w:rPr>
  </w:style>
  <w:style w:type="paragraph" w:styleId="ListeParagraf">
    <w:name w:val="List Paragraph"/>
    <w:basedOn w:val="Normal"/>
    <w:uiPriority w:val="34"/>
    <w:qFormat/>
    <w:rsid w:val="005D60D8"/>
    <w:pPr>
      <w:spacing w:after="0" w:line="240" w:lineRule="auto"/>
      <w:ind w:left="720"/>
      <w:contextualSpacing/>
    </w:pPr>
    <w:rPr>
      <w:rFonts w:ascii="Times New Roman" w:eastAsia="Times New Roman" w:hAnsi="Times New Roman" w:cs="Times New Roman"/>
      <w:sz w:val="20"/>
      <w:szCs w:val="20"/>
      <w:lang w:val="en-GB" w:eastAsia="tr-TR"/>
    </w:rPr>
  </w:style>
  <w:style w:type="paragraph" w:customStyle="1" w:styleId="1">
    <w:name w:val="1."/>
    <w:basedOn w:val="Normal"/>
    <w:rsid w:val="005D0E15"/>
    <w:pPr>
      <w:spacing w:after="0" w:line="240" w:lineRule="auto"/>
      <w:jc w:val="both"/>
    </w:pPr>
    <w:rPr>
      <w:rFonts w:ascii="Arial" w:eastAsia="Times New Roman" w:hAnsi="Arial" w:cs="Times New Roman"/>
      <w:b/>
      <w:noProof/>
      <w:snapToGrid w:val="0"/>
      <w:szCs w:val="20"/>
      <w:lang w:val="en-AU"/>
    </w:rPr>
  </w:style>
  <w:style w:type="paragraph" w:styleId="GvdeMetni">
    <w:name w:val="Body Text"/>
    <w:basedOn w:val="Normal"/>
    <w:link w:val="GvdeMetniChar"/>
    <w:rsid w:val="00FC4679"/>
    <w:pPr>
      <w:spacing w:after="0" w:line="240" w:lineRule="auto"/>
    </w:pPr>
    <w:rPr>
      <w:rFonts w:ascii="Times New Roman" w:eastAsia="Times New Roman" w:hAnsi="Times New Roman" w:cs="Times New Roman"/>
      <w:b/>
      <w:szCs w:val="20"/>
      <w:lang w:eastAsia="tr-TR"/>
    </w:rPr>
  </w:style>
  <w:style w:type="character" w:customStyle="1" w:styleId="GvdeMetniChar">
    <w:name w:val="Gövde Metni Char"/>
    <w:basedOn w:val="VarsaylanParagrafYazTipi"/>
    <w:link w:val="GvdeMetni"/>
    <w:rsid w:val="00FC4679"/>
    <w:rPr>
      <w:rFonts w:ascii="Times New Roman" w:eastAsia="Times New Roman" w:hAnsi="Times New Roman" w:cs="Times New Roman"/>
      <w:b/>
      <w:szCs w:val="20"/>
      <w:lang w:eastAsia="tr-TR"/>
    </w:rPr>
  </w:style>
  <w:style w:type="character" w:styleId="Gl">
    <w:name w:val="Strong"/>
    <w:basedOn w:val="VarsaylanParagrafYazTipi"/>
    <w:uiPriority w:val="22"/>
    <w:qFormat/>
    <w:rsid w:val="003B01A0"/>
    <w:rPr>
      <w:b/>
      <w:bCs/>
    </w:rPr>
  </w:style>
  <w:style w:type="character" w:customStyle="1" w:styleId="headnew1">
    <w:name w:val="headnew1"/>
    <w:rsid w:val="001714AC"/>
    <w:rPr>
      <w:b/>
      <w:bCs/>
      <w:color w:val="003366"/>
      <w:sz w:val="21"/>
      <w:szCs w:val="21"/>
    </w:rPr>
  </w:style>
  <w:style w:type="character" w:styleId="AklamaBavurusu">
    <w:name w:val="annotation reference"/>
    <w:basedOn w:val="VarsaylanParagrafYazTipi"/>
    <w:uiPriority w:val="99"/>
    <w:semiHidden/>
    <w:unhideWhenUsed/>
    <w:rsid w:val="007C4C6B"/>
    <w:rPr>
      <w:sz w:val="16"/>
      <w:szCs w:val="16"/>
    </w:rPr>
  </w:style>
  <w:style w:type="paragraph" w:styleId="AklamaMetni">
    <w:name w:val="annotation text"/>
    <w:basedOn w:val="Normal"/>
    <w:link w:val="AklamaMetniChar"/>
    <w:uiPriority w:val="99"/>
    <w:semiHidden/>
    <w:unhideWhenUsed/>
    <w:rsid w:val="007C4C6B"/>
    <w:pPr>
      <w:spacing w:line="240" w:lineRule="auto"/>
    </w:pPr>
    <w:rPr>
      <w:sz w:val="20"/>
      <w:szCs w:val="20"/>
    </w:rPr>
  </w:style>
  <w:style w:type="character" w:customStyle="1" w:styleId="AklamaMetniChar">
    <w:name w:val="Açıklama Metni Char"/>
    <w:basedOn w:val="VarsaylanParagrafYazTipi"/>
    <w:link w:val="AklamaMetni"/>
    <w:uiPriority w:val="99"/>
    <w:semiHidden/>
    <w:rsid w:val="007C4C6B"/>
    <w:rPr>
      <w:sz w:val="20"/>
      <w:szCs w:val="20"/>
    </w:rPr>
  </w:style>
  <w:style w:type="paragraph" w:styleId="AklamaKonusu">
    <w:name w:val="annotation subject"/>
    <w:basedOn w:val="AklamaMetni"/>
    <w:next w:val="AklamaMetni"/>
    <w:link w:val="AklamaKonusuChar"/>
    <w:uiPriority w:val="99"/>
    <w:semiHidden/>
    <w:unhideWhenUsed/>
    <w:rsid w:val="007C4C6B"/>
    <w:rPr>
      <w:b/>
      <w:bCs/>
    </w:rPr>
  </w:style>
  <w:style w:type="character" w:customStyle="1" w:styleId="AklamaKonusuChar">
    <w:name w:val="Açıklama Konusu Char"/>
    <w:basedOn w:val="AklamaMetniChar"/>
    <w:link w:val="AklamaKonusu"/>
    <w:uiPriority w:val="99"/>
    <w:semiHidden/>
    <w:rsid w:val="007C4C6B"/>
    <w:rPr>
      <w:b/>
      <w:bCs/>
      <w:sz w:val="20"/>
      <w:szCs w:val="20"/>
    </w:rPr>
  </w:style>
  <w:style w:type="character" w:styleId="Kpr">
    <w:name w:val="Hyperlink"/>
    <w:basedOn w:val="VarsaylanParagrafYazTipi"/>
    <w:uiPriority w:val="99"/>
    <w:unhideWhenUsed/>
    <w:rsid w:val="00317AE9"/>
    <w:rPr>
      <w:color w:val="0000FF"/>
      <w:u w:val="single"/>
    </w:rPr>
  </w:style>
  <w:style w:type="character" w:styleId="zmlenmeyenBahsetme">
    <w:name w:val="Unresolved Mention"/>
    <w:basedOn w:val="VarsaylanParagrafYazTipi"/>
    <w:uiPriority w:val="99"/>
    <w:semiHidden/>
    <w:unhideWhenUsed/>
    <w:rsid w:val="008E561C"/>
    <w:rPr>
      <w:color w:val="605E5C"/>
      <w:shd w:val="clear" w:color="auto" w:fill="E1DFDD"/>
    </w:rPr>
  </w:style>
  <w:style w:type="paragraph" w:customStyle="1" w:styleId="Heading1">
    <w:name w:val="heading 1"/>
    <w:pPr>
      <w:keepNext/>
      <w:spacing w:before="180" w:after="80"/>
    </w:pPr>
    <w:rPr>
      <w:rFonts w:ascii="Calibri" w:hAnsi="Calibri"/>
      <w:b/>
      <w:color w:val="18364A"/>
      <w:sz w:val="24"/>
    </w:rPr>
  </w:style>
  <w:style w:type="paragraph" w:customStyle="1" w:styleId="Heading2">
    <w:name w:val="heading 2"/>
    <w:pPr>
      <w:keepNext/>
      <w:spacing w:before="180" w:after="80"/>
    </w:pPr>
    <w:rPr>
      <w:rFonts w:ascii="Calibri" w:hAnsi="Calibri"/>
      <w:b/>
      <w:color w:val="18364A"/>
      <w:sz w:val="22"/>
    </w:rPr>
  </w:style>
  <w:style w:type="paragraph" w:customStyle="1" w:styleId="Heading3">
    <w:name w:val="heading 3"/>
    <w:pPr>
      <w:keepNext/>
      <w:spacing w:before="180" w:after="80"/>
    </w:pPr>
    <w:rPr>
      <w:rFonts w:ascii="Calibri" w:hAnsi="Calibri"/>
      <w:b/>
      <w:color w:val="18364A"/>
      <w:sz w:val="21"/>
    </w:rPr>
  </w:style>
  <w:style w:type="paragraph" w:customStyle="1" w:styleId="ListBullet">
    <w:name w:val="List Bullet"/>
  </w:style>
  <w:style w:type="paragraph" w:customStyle="1" w:styleId="ListNumber">
    <w:name w:val="List Numb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588356">
      <w:bodyDiv w:val="1"/>
      <w:marLeft w:val="0"/>
      <w:marRight w:val="0"/>
      <w:marTop w:val="0"/>
      <w:marBottom w:val="0"/>
      <w:divBdr>
        <w:top w:val="none" w:sz="0" w:space="0" w:color="auto"/>
        <w:left w:val="none" w:sz="0" w:space="0" w:color="auto"/>
        <w:bottom w:val="none" w:sz="0" w:space="0" w:color="auto"/>
        <w:right w:val="none" w:sz="0" w:space="0" w:color="auto"/>
      </w:divBdr>
      <w:divsChild>
        <w:div w:id="654454404">
          <w:marLeft w:val="547"/>
          <w:marRight w:val="0"/>
          <w:marTop w:val="0"/>
          <w:marBottom w:val="0"/>
          <w:divBdr>
            <w:top w:val="none" w:sz="0" w:space="0" w:color="auto"/>
            <w:left w:val="none" w:sz="0" w:space="0" w:color="auto"/>
            <w:bottom w:val="none" w:sz="0" w:space="0" w:color="auto"/>
            <w:right w:val="none" w:sz="0" w:space="0" w:color="auto"/>
          </w:divBdr>
        </w:div>
      </w:divsChild>
    </w:div>
    <w:div w:id="1011562616">
      <w:bodyDiv w:val="1"/>
      <w:marLeft w:val="0"/>
      <w:marRight w:val="0"/>
      <w:marTop w:val="0"/>
      <w:marBottom w:val="0"/>
      <w:divBdr>
        <w:top w:val="none" w:sz="0" w:space="0" w:color="auto"/>
        <w:left w:val="none" w:sz="0" w:space="0" w:color="auto"/>
        <w:bottom w:val="none" w:sz="0" w:space="0" w:color="auto"/>
        <w:right w:val="none" w:sz="0" w:space="0" w:color="auto"/>
      </w:divBdr>
    </w:div>
    <w:div w:id="1041829331">
      <w:bodyDiv w:val="1"/>
      <w:marLeft w:val="0"/>
      <w:marRight w:val="0"/>
      <w:marTop w:val="0"/>
      <w:marBottom w:val="0"/>
      <w:divBdr>
        <w:top w:val="none" w:sz="0" w:space="0" w:color="auto"/>
        <w:left w:val="none" w:sz="0" w:space="0" w:color="auto"/>
        <w:bottom w:val="none" w:sz="0" w:space="0" w:color="auto"/>
        <w:right w:val="none" w:sz="0" w:space="0" w:color="auto"/>
      </w:divBdr>
      <w:divsChild>
        <w:div w:id="1300724913">
          <w:marLeft w:val="547"/>
          <w:marRight w:val="0"/>
          <w:marTop w:val="0"/>
          <w:marBottom w:val="0"/>
          <w:divBdr>
            <w:top w:val="none" w:sz="0" w:space="0" w:color="auto"/>
            <w:left w:val="none" w:sz="0" w:space="0" w:color="auto"/>
            <w:bottom w:val="none" w:sz="0" w:space="0" w:color="auto"/>
            <w:right w:val="none" w:sz="0" w:space="0" w:color="auto"/>
          </w:divBdr>
        </w:div>
      </w:divsChild>
    </w:div>
    <w:div w:id="1546942135">
      <w:bodyDiv w:val="1"/>
      <w:marLeft w:val="0"/>
      <w:marRight w:val="0"/>
      <w:marTop w:val="0"/>
      <w:marBottom w:val="0"/>
      <w:divBdr>
        <w:top w:val="none" w:sz="0" w:space="0" w:color="auto"/>
        <w:left w:val="none" w:sz="0" w:space="0" w:color="auto"/>
        <w:bottom w:val="none" w:sz="0" w:space="0" w:color="auto"/>
        <w:right w:val="none" w:sz="0" w:space="0" w:color="auto"/>
      </w:divBdr>
    </w:div>
    <w:div w:id="1569458365">
      <w:bodyDiv w:val="1"/>
      <w:marLeft w:val="0"/>
      <w:marRight w:val="0"/>
      <w:marTop w:val="0"/>
      <w:marBottom w:val="0"/>
      <w:divBdr>
        <w:top w:val="none" w:sz="0" w:space="0" w:color="auto"/>
        <w:left w:val="none" w:sz="0" w:space="0" w:color="auto"/>
        <w:bottom w:val="none" w:sz="0" w:space="0" w:color="auto"/>
        <w:right w:val="none" w:sz="0" w:space="0" w:color="auto"/>
      </w:divBdr>
    </w:div>
    <w:div w:id="1756856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ekolglass.com"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 Id="rIdEKGKimlik" Type="http://schemas.openxmlformats.org/officeDocument/2006/relationships/header" Target="headerEKGKimlik.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491CAF1B7BA40989766565E71FA7C85"/>
        <w:category>
          <w:name w:val="Genel"/>
          <w:gallery w:val="placeholder"/>
        </w:category>
        <w:types>
          <w:type w:val="bbPlcHdr"/>
        </w:types>
        <w:behaviors>
          <w:behavior w:val="content"/>
        </w:behaviors>
        <w:guid w:val="{5CFF45C7-9550-45B9-BB78-CB2C865C644B}"/>
      </w:docPartPr>
      <w:docPartBody>
        <w:p w:rsidR="009B25D6" w:rsidRDefault="009B25D6" w:rsidP="009B25D6">
          <w:pPr>
            <w:pStyle w:val="5491CAF1B7BA40989766565E71FA7C85"/>
          </w:pPr>
          <w:r>
            <w:rPr>
              <w:rFonts w:asciiTheme="majorHAnsi" w:eastAsiaTheme="majorEastAsia" w:hAnsiTheme="majorHAnsi" w:cstheme="majorBidi"/>
              <w:color w:val="156082" w:themeColor="accent1"/>
              <w:sz w:val="80"/>
              <w:szCs w:val="80"/>
            </w:rPr>
            <w:t>[Belge başlığını yazın]</w:t>
          </w:r>
        </w:p>
      </w:docPartBody>
    </w:docPart>
    <w:docPart>
      <w:docPartPr>
        <w:name w:val="822442EAE851499B990E51E72CFA3AD2"/>
        <w:category>
          <w:name w:val="Genel"/>
          <w:gallery w:val="placeholder"/>
        </w:category>
        <w:types>
          <w:type w:val="bbPlcHdr"/>
        </w:types>
        <w:behaviors>
          <w:behavior w:val="content"/>
        </w:behaviors>
        <w:guid w:val="{5721BFF8-4C5F-4481-AC09-65141918D166}"/>
      </w:docPartPr>
      <w:docPartBody>
        <w:p w:rsidR="009B25D6" w:rsidRDefault="009B25D6" w:rsidP="009B25D6">
          <w:pPr>
            <w:pStyle w:val="822442EAE851499B990E51E72CFA3AD2"/>
          </w:pPr>
          <w:r>
            <w:rPr>
              <w:rFonts w:asciiTheme="majorHAnsi" w:eastAsiaTheme="majorEastAsia" w:hAnsiTheme="majorHAnsi" w:cstheme="majorBidi"/>
            </w:rPr>
            <w:t>[Belge alt başlığını yazın]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MT">
    <w:altName w:val="Arial"/>
    <w:panose1 w:val="020B0604020202020204"/>
    <w:charset w:val="B2"/>
    <w:family w:val="swiss"/>
    <w:notTrueType/>
    <w:pitch w:val="default"/>
    <w:sig w:usb0="00002001" w:usb1="00000000" w:usb2="00000000" w:usb3="00000000" w:csb0="00000040" w:csb1="00000000"/>
  </w:font>
  <w:font w:name="Bookman Old Style">
    <w:panose1 w:val="02050604050505020204"/>
    <w:charset w:val="A2"/>
    <w:family w:val="roman"/>
    <w:pitch w:val="variable"/>
    <w:sig w:usb0="00000287" w:usb1="00000000" w:usb2="00000000" w:usb3="00000000" w:csb0="0000009F" w:csb1="00000000"/>
  </w:font>
  <w:font w:name="Arial,Bold">
    <w:altName w:val="Arial"/>
    <w:panose1 w:val="020B0604020202020204"/>
    <w:charset w:val="A2"/>
    <w:family w:val="auto"/>
    <w:notTrueType/>
    <w:pitch w:val="default"/>
    <w:sig w:usb0="00000005" w:usb1="00000000" w:usb2="00000000" w:usb3="00000000" w:csb0="0000001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25D6"/>
    <w:rsid w:val="000D5FE3"/>
    <w:rsid w:val="001C3497"/>
    <w:rsid w:val="00232BF4"/>
    <w:rsid w:val="00262763"/>
    <w:rsid w:val="00272E7F"/>
    <w:rsid w:val="002A0F42"/>
    <w:rsid w:val="0034246F"/>
    <w:rsid w:val="003873C1"/>
    <w:rsid w:val="003B6D48"/>
    <w:rsid w:val="0041666C"/>
    <w:rsid w:val="004627C5"/>
    <w:rsid w:val="005A2E62"/>
    <w:rsid w:val="005C2471"/>
    <w:rsid w:val="005C32E6"/>
    <w:rsid w:val="005F493C"/>
    <w:rsid w:val="0064665D"/>
    <w:rsid w:val="0064695C"/>
    <w:rsid w:val="006C3007"/>
    <w:rsid w:val="00790549"/>
    <w:rsid w:val="007F1689"/>
    <w:rsid w:val="007F43AE"/>
    <w:rsid w:val="00924140"/>
    <w:rsid w:val="009B25D6"/>
    <w:rsid w:val="00A0250C"/>
    <w:rsid w:val="00C400A1"/>
    <w:rsid w:val="00C70C6A"/>
    <w:rsid w:val="00C762F8"/>
    <w:rsid w:val="00CE34B0"/>
    <w:rsid w:val="00D148D7"/>
    <w:rsid w:val="00DC7EB0"/>
    <w:rsid w:val="00E372E8"/>
    <w:rsid w:val="00EC5822"/>
    <w:rsid w:val="00ED386A"/>
    <w:rsid w:val="00FC7B4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5491CAF1B7BA40989766565E71FA7C85">
    <w:name w:val="5491CAF1B7BA40989766565E71FA7C85"/>
    <w:rsid w:val="009B25D6"/>
  </w:style>
  <w:style w:type="paragraph" w:customStyle="1" w:styleId="822442EAE851499B990E51E72CFA3AD2">
    <w:name w:val="822442EAE851499B990E51E72CFA3AD2"/>
    <w:rsid w:val="009B25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C9CEA0-9ED5-4270-9312-96B27C9B8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10795</TotalTime>
  <Pages>24</Pages>
  <Words>5291</Words>
  <Characters>30161</Characters>
  <Application>Microsoft Office Word</Application>
  <DocSecurity>0</DocSecurity>
  <Lines>251</Lines>
  <Paragraphs>70</Paragraphs>
  <ScaleCrop>false</ScaleCrop>
  <HeadingPairs>
    <vt:vector size="2" baseType="variant">
      <vt:variant>
        <vt:lpstr>Konu Başlığı</vt:lpstr>
      </vt:variant>
      <vt:variant>
        <vt:i4>1</vt:i4>
      </vt:variant>
    </vt:vector>
  </HeadingPairs>
  <TitlesOfParts>
    <vt:vector size="1" baseType="lpstr">
      <vt:lpstr>KALİTE YÖNETİM SİSTEMİ EL KİTABI</vt:lpstr>
    </vt:vector>
  </TitlesOfParts>
  <Company>YILMAR  Dış Ticaret Demirtaş Organize an.Böl.Ali Osman Sönmez Cad.No:25 BURSA                                                                                                                                                    Tel :+90 224 261 17 65 Fax:+90 224 261 17 67 e-mail: www.yilmartrade.com.tr</Company>
  <LinksUpToDate>false</LinksUpToDate>
  <CharactersWithSpaces>35382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Kalite Yönetim Sistemi El Kitabı</dc:title>
  <dc:subject>EKG-YNT-EKT-01</dc:subject>
  <dc:creator>Ekol Glass</dc:creator>
  <cp:lastModifiedBy>Ekol Glass</cp:lastModifiedBy>
  <cp:revision>220</cp:revision>
  <cp:lastPrinted>2018-04-13T13:38:00Z</cp:lastPrinted>
  <dcterms:created xsi:type="dcterms:W3CDTF">2026-05-04T09:00:00Z</dcterms:created>
  <dcterms:modified xsi:type="dcterms:W3CDTF">2026-10-19T09:00:00Z</dcterms:modified>
</cp:coreProperties>
</file>