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</w:pPr>
      <w:r>
        <w:rPr>
          <w:rFonts w:ascii="Calibri" w:hAnsi="Calibri"/>
        </w:rPr>
        <w:t>Kalite Kayıtları ve Saklama Süreleri Listesi</w:t>
      </w:r>
    </w:p>
    <w:p>
      <w:pPr>
        <w:pStyle w:val="Heading1"/>
      </w:pPr>
      <w:r>
        <w:rPr>
          <w:rFonts w:ascii="Calibri" w:hAnsi="Calibri"/>
        </w:rPr>
        <w:t>1 Saklama kuralı</w:t>
      </w:r>
    </w:p>
    <w:p>
      <w:r>
        <w:rPr>
          <w:rFonts w:ascii="Calibri" w:hAnsi="Calibri"/>
        </w:rPr>
        <w:t>Aşağıdaki süreler kaynak listedeki iç asgari saklama planıdır. İlgili müşteri, sözleşme veya uygulanabilir mevzuat daha uzun süre gerektiriyorsa uzun süre uygulanır; kaynak, ürün kapsamı ve karar ilgili kayıt grubuyla ilişkilendirilir. Kişisel verilerin saklanması amaç ve yasal dayanakla sınırlandırılır.</w:t>
      </w:r>
    </w:p>
    <w:p>
      <w:r>
        <w:rPr>
          <w:rFonts w:ascii="Calibri" w:hAnsi="Calibri"/>
        </w:rPr>
        <w:t>Süre başlangıcı kayıt tamamlanma tarihidir; çalışan/varlık yaşam döngüsü belirtilen satırda ilgili ayrılış veya kullanım sonu esas alınır. Açık şikâyet, soruşturma, güvenlik olayı ya da saklama talebi varken süre dolsa da imha yapılmaz.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36"/>
        <w:gridCol w:w="3002"/>
        <w:gridCol w:w="3854"/>
      </w:tblGrid>
      <w:tr>
        <w:trPr>
          <w:tblHeader/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 grubu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İç asgari toplam süre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Süre başlangıcı / sorumlu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Eğitim sicil ve işbaşı yetkinlik kayıtları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İşten ayrılıştan sonra 3 yıl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İşten ayrılış / İnsan Kaynakları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Aksiyon ve iyileştirme kayıtları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5 yıl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Kapanış / Süreç sahibi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Girdi, üretim ve son kontrol kayıtları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5 yıl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Kayıt kapanışı / Kalite ve Üretim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İmalat ve lot izlenebilirlik kayıtları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5 yıl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İlgili üretim/lot kapanışı / Üretim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Uygunsuzluk ve düzeltici faaliyet kayıtları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3 yıl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Kapanış / Kalite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Satınalma talep kayıtları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3 yıl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Sipariş kapanışı / Satınalma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İş/istihdam istek kayıtları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3 yıl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Amaç sonu ve yasal dayanak kontrolü / İnsan Kaynakları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Tedarikçi bilgi ve değerlendirme kayıtları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İş ilişkisinin bitiminden sonra 3 yıl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Tedarik ilişkisi sonu / Satınalma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Makine/tezgâh sicil kayıtları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Kullanım sonundan sonra 3 yıl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Kullanım sonu / Bakım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Hata raporları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5 yıl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Rapor kapanışı / Kalite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Yapılabilirlik raporları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3 yıl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Proje kapanışı / Proje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Çalışan memnuniyet anket kayıtları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3 yıl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Anket dönemi sonu; kişisel veri incelemesi / İnsan Kaynakları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İç tetkik kayıtları</w:t>
            </w:r>
          </w:p>
        </w:tc>
        <w:tc>
          <w:tcPr>
            <w:tcW w:type="dxa" w:w="3002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5 yıl</w:t>
            </w:r>
          </w:p>
        </w:tc>
        <w:tc>
          <w:tcPr>
            <w:tcW w:type="dxa" w:w="3854"/>
          </w:tcPr>
          <w:p>
            <w:pPr>
              <w:keepNext w:val="0"/>
              <w:spacing w:before="20" w:after="40" w:line="240" w:lineRule="auto"/>
            </w:pPr>
            <w:r>
              <w:rPr>
                <w:rFonts w:ascii="Calibri" w:hAnsi="Calibri"/>
                <w:sz w:val="19"/>
              </w:rPr>
              <w:t>Tetkik kapanışı / Kalite</w:t>
            </w:r>
          </w:p>
        </w:tc>
      </w:tr>
    </w:tbl>
    <w:p>
      <w:pPr>
        <w:pStyle w:val="Heading1"/>
      </w:pPr>
      <w:r>
        <w:rPr>
          <w:rFonts w:ascii="Calibri" w:hAnsi="Calibri"/>
        </w:rPr>
        <w:t>2 Konum ve imha</w:t>
      </w:r>
    </w:p>
    <w:p>
      <w:r>
        <w:rPr>
          <w:rFonts w:ascii="Calibri" w:hAnsi="Calibri"/>
        </w:rPr>
        <w:t>Bölüm sorumlusu kayıtların etkin kullanım ve arşiv konumunu tanımlar; elektronik konumda erişim ve yedek düzeni bulunur. Aynı kayıt için mükerrer süre hesabı yapılmaz. Süre veya bağlayıcı kaynak değişikliği önceki kayıtların etkisiyle değerlendirilir.</w:t>
      </w:r>
    </w:p>
    <w:p>
      <w:r>
        <w:rPr>
          <w:rFonts w:ascii="Calibri" w:hAnsi="Calibri"/>
        </w:rPr>
        <w:t>İmha kararı EKG-YNT-PRS-07’ye göre alınır ve EKG-YNT-LST-10’da kapsam, yöntem, yetkili ve gerçek işlem tarihiyle kaydedilir.</w:t>
      </w:r>
    </w:p>
    <w:sectPr>
      <w:headerReference w:type="even" r:id="rIdEKGKimlik"/>
      <w:headerReference w:type="first" r:id="rIdEKGKimlik"/>
      <w:headerReference w:type="default" r:id="rIdEKGKimlik"/>
      <w:footerReference w:type="default" r:id="rId8"/>
      <w:type w:val="nextPage"/>
      <w:pgSz w:w="11906" w:h="16838"/>
      <w:pgMar w:left="794" w:right="720" w:gutter="0" w:header="0" w:top="851" w:footer="0" w:bottom="73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2"/>
    <w:family w:val="roman"/>
    <w:pitch w:val="variable"/>
  </w:font>
  <w:font w:name="Arial">
    <w:charset w:val="a2"/>
    <w:family w:val="swiss"/>
    <w:pitch w:val="variable"/>
  </w:font>
  <w:font w:name="Liberation Sans">
    <w:altName w:val="Arial"/>
    <w:charset w:val="01"/>
    <w:family w:val="swiss"/>
    <w:pitch w:val="variable"/>
  </w:font>
  <w:font w:name="Arial Narrow">
    <w:charset w:val="a2"/>
    <w:family w:val="swiss"/>
    <w:pitch w:val="variable"/>
  </w:font>
  <w:font w:name="Verdana">
    <w:charset w:val="a2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Saklama tablosunda toplam süre, başlangıç olayı ve bağlayıcı kaynak şartları netleştirildi.</w:t>
    </w:r>
  </w:p>
</w:ftr>
</file>

<file path=word/headerEKGKimlik.xml><?xml version="1.0" encoding="utf-8"?>
<w:hdr xmlns:w="http://schemas.openxmlformats.org/wordprocessingml/2006/main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EKG-YNT-LST-03</w:t>
          </w:r>
          <w:r>
            <w:rPr>
              <w:rFonts w:ascii="Calibri" w:hAnsi="Calibri"/>
              <w:b w:val="0"/>
              <w:sz w:val="17"/>
            </w:rPr>
            <w:br/>
            <w:t>İlk yayın: 08.06.2026</w:t>
          </w:r>
          <w:r>
            <w:rPr>
              <w:rFonts w:ascii="Calibri" w:hAnsi="Calibri"/>
              <w:b w:val="0"/>
              <w:sz w:val="17"/>
            </w:rPr>
            <w:br/>
            <w:t>Revizyon tarihi: 14.09.2026</w:t>
          </w:r>
        </w:p>
      </w:tc>
    </w:tr>
  </w:tbl>
  <w:p>
    <w:pPr>
      <w:spacing w:after="0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after="100" w:line="252" w:lineRule="auto"/>
    </w:pPr>
    <w:rPr>
      <w:rFonts w:ascii="Calibri" w:hAnsi="Calibri" w:eastAsia="Times New Roman" w:cs="Times New Roman"/>
      <w:color w:val="auto"/>
      <w:sz w:val="21"/>
      <w:szCs w:val="20"/>
      <w:lang w:val="tr-TR" w:bidi="ar-SA" w:eastAsia="zh-CN"/>
    </w:rPr>
  </w:style>
  <w:style w:type="paragraph" w:styleId="Heading1">
    <w:name w:val="heading 1"/>
    <w:basedOn w:val="Normal"/>
    <w:next w:val="Normal"/>
    <w:qFormat/>
    <w:pPr>
      <w:keepNext/>
      <w:numPr>
        <w:ilvl w:val="0"/>
        <w:numId w:val="1"/>
      </w:numPr>
      <w:spacing w:before="180" w:after="80"/>
      <w:jc w:val="center"/>
      <w:outlineLvl w:val="0"/>
    </w:pPr>
    <w:rPr>
      <w:rFonts w:ascii="Calibri" w:hAnsi="Calibri" w:cs="Arial"/>
      <w:b/>
      <w:color w:val="18364A"/>
      <w:sz w:val="24"/>
      <w:u w:val="single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180" w:after="80"/>
      <w:outlineLvl w:val="1"/>
    </w:pPr>
    <w:rPr>
      <w:rFonts w:ascii="Calibri" w:hAnsi="Calibri" w:cs="Arial"/>
      <w:b/>
      <w:color w:val="18364A"/>
      <w:sz w:val="2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180" w:after="80"/>
      <w:outlineLvl w:val="2"/>
    </w:pPr>
    <w:rPr>
      <w:rFonts w:ascii="Calibri" w:hAnsi="Calibri" w:cs="Arial"/>
      <w:b/>
      <w:color w:val="18364A"/>
      <w:sz w:val="21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rFonts w:ascii="Arial" w:hAnsi="Arial" w:cs="Arial"/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sz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sz w:val="24"/>
      <w:u w:val="single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jc w:val="center"/>
      <w:outlineLvl w:val="6"/>
    </w:pPr>
    <w:rPr>
      <w:rFonts w:ascii="Arial" w:hAnsi="Arial" w:cs="Arial"/>
      <w:b/>
      <w:sz w:val="40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jc w:val="center"/>
      <w:outlineLvl w:val="7"/>
    </w:pPr>
    <w:rPr>
      <w:rFonts w:ascii="Arial" w:hAnsi="Arial" w:cs="Arial"/>
      <w:b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/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b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/>
    <w:rPr>
      <w:b/>
      <w:sz w:val="22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GvdeMetni2">
    <w:name w:val="Gövde Metni 2"/>
    <w:basedOn w:val="Normal"/>
    <w:qFormat/>
    <w:pPr>
      <w:jc w:val="center"/>
    </w:pPr>
    <w:rPr>
      <w:sz w:val="28"/>
    </w:rPr>
  </w:style>
  <w:style w:type="paragraph" w:styleId="GvdeMetni3">
    <w:name w:val="Gövde Metni 3"/>
    <w:basedOn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paragraph" w:customStyle="1" w:styleId="Title">
    <w:name w:val="Title"/>
    <w:pPr>
      <w:keepNext/>
      <w:spacing w:before="180" w:after="80"/>
    </w:pPr>
    <w:rPr>
      <w:rFonts w:ascii="Calibri" w:hAnsi="Calibri"/>
      <w:b/>
      <w:color w:val="18364A"/>
      <w:sz w:val="32"/>
    </w:r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EKGKimlik" Type="http://schemas.openxmlformats.org/officeDocument/2006/relationships/header" Target="headerEKGKimlik.xml"/><Relationship Id="rId8" Type="http://schemas.openxmlformats.org/officeDocument/2006/relationships/footer" Target="footer1.xml"/></Relationships>
</file>

<file path=word/_rels/headerEKGKimlik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2026-06-08T09:00:00Z</dcterms:created>
  <dc:creator>Ekol Glass</dc:creator>
  <dc:description/>
  <cp:keywords/>
  <dc:language>en-US</dc:language>
  <cp:lastModifiedBy>Ekol Glass</cp:lastModifiedBy>
  <cp:lastPrinted>2006-12-20T10:28:00Z</cp:lastPrinted>
  <dcterms:modified xsi:type="dcterms:W3CDTF">2026-10-19T09:00:00Z</dcterms:modified>
  <cp:revision>59</cp:revision>
  <dc:subject>EKG-YNT-LST-03</dc:subject>
  <dc:title>Kalite Kayıtları ve Saklama Süreleri Listesi</dc:title>
</cp:coreProperties>
</file>