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Yönetimin Gözden Geçirmesi Prosedürü</w:t>
      </w:r>
    </w:p>
    <w:p>
      <w:r>
        <w:rPr>
          <w:rFonts w:ascii="Calibri" w:hAnsi="Calibri"/>
        </w:rPr>
        <w:t>Yönetim sisteminin sonuçlarını, risklerini ve kaynak ihtiyacını kanıta dayalı kararlarla gözden geçirmek.</w:t>
      </w:r>
    </w:p>
    <w:p>
      <w:pPr>
        <w:pStyle w:val="Heading1"/>
      </w:pPr>
      <w:r>
        <w:rPr>
          <w:rFonts w:ascii="Calibri" w:hAnsi="Calibri"/>
        </w:rPr>
        <w:t>1 Katılım ve planlama</w:t>
      </w:r>
    </w:p>
    <w:p>
      <w:pPr>
        <w:pStyle w:val="ListBullet"/>
      </w:pPr>
      <w:r>
        <w:rPr>
          <w:rFonts w:ascii="Calibri" w:hAnsi="Calibri"/>
        </w:rPr>
        <w:t>Fabrika Yönetimi toplantıya başkanlık eder. Kalite, üretim, lojistik, bakım, satınalma, insan kaynakları ve proje sorumluları kendi konularının sonuçlarıyla katılır. İSG ve çevre sorumluları ilgili gündemde yer alır.</w:t>
      </w:r>
    </w:p>
    <w:p>
      <w:pPr>
        <w:pStyle w:val="ListBullet"/>
      </w:pPr>
      <w:r>
        <w:rPr>
          <w:rFonts w:ascii="Calibri" w:hAnsi="Calibri"/>
        </w:rPr>
        <w:t>Kalite, yıllık yönetim gözden geçirme takvimini hazırlar. Planlı gözden geçirme yılda en az bir kez yapılır; kritik müşteri problemi, güvenlik riski, önemli kesinti veya kalıcı hedef sapmasında ek toplantı düzenlenir.</w:t>
      </w:r>
    </w:p>
    <w:p>
      <w:pPr>
        <w:pStyle w:val="ListBullet"/>
      </w:pPr>
      <w:r>
        <w:rPr>
          <w:rFonts w:ascii="Calibri" w:hAnsi="Calibri"/>
        </w:rPr>
        <w:t>Katılım, gündem, veri dönemi ve veri sahipleri toplantıdan önce belirlenir. Önceki kararların tamamlanma ve etkinlik durumu gündemin ilk maddesidir.</w:t>
      </w:r>
    </w:p>
    <w:p>
      <w:pPr>
        <w:pStyle w:val="Heading1"/>
      </w:pPr>
      <w:r>
        <w:rPr>
          <w:rFonts w:ascii="Calibri" w:hAnsi="Calibri"/>
        </w:rPr>
        <w:t>2 Zorunlu girdiler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Girdi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Sunulacak kanıt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 ve ürün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Şikâyetler, scorecard, teslimat, iade / garanti, özel şart değişiklikleri, ürün güvenliği ve mevzuat konuları.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Süreç performansı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/ lojistik hedefleri ve eğilim, hurda / yeniden işleme, kapasite, darboğaz, bakım ve ölçüm kaynakları.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Denetim ve yeterlilik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İç / dış tetkik, LPA plan / gerçekleşen, tekrarlayan uygunsuzluklar, eğitim / yetkinlik açıkları.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Risk ve süreklilik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Yüksek PFMEA riskleri, açık / geciken faaliyetler, ters PFMEA, yeni riskler, iş sürekliliği tatbikatları.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Tedarik ve dış kaynak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Tedarikçi performansı, onay ve giriş kontrolü, kritik dış kaynak riskleri.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 xml:space="preserve">Bağlam, iyileştirme ve değişim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 xml:space="preserve">İç/dış konular ve ilgili taraf şartlarındaki değişimler; risk/fırsat faaliyetlerinin etkinliği; iyileştirmeler, doğrulanmış fayda, değişiklik etkisi ve kaynak ihtiyacı.</w:t>
            </w:r>
          </w:p>
        </w:tc>
      </w:tr>
    </w:tbl>
    <w:p>
      <w:pPr>
        <w:pStyle w:val="Heading1"/>
      </w:pPr>
      <w:r>
        <w:rPr>
          <w:rFonts w:ascii="Calibri" w:hAnsi="Calibri"/>
        </w:rPr>
        <w:t>3 Değerlendirme</w:t>
      </w:r>
    </w:p>
    <w:p>
      <w:pPr>
        <w:pStyle w:val="ListBullet"/>
      </w:pPr>
      <w:r>
        <w:rPr>
          <w:rFonts w:ascii="Calibri" w:hAnsi="Calibri"/>
        </w:rPr>
        <w:t>Her veri sahibi sonuçla birlikte hedefi, önceki dönemi, sapmanın etkisini ve kanıt kaynağını sunar. Veri yokluğu ayrı bir açık konu olarak kaydedilir.</w:t>
      </w:r>
    </w:p>
    <w:p>
      <w:pPr>
        <w:pStyle w:val="ListBullet"/>
      </w:pPr>
      <w:r>
        <w:rPr>
          <w:rFonts w:ascii="Calibri" w:hAnsi="Calibri"/>
        </w:rPr>
        <w:t>Yüksek riskler ve geciken faaliyetler için mevcut koruma, ürün / müşteri etkisi, gerekli kaynak ve karar değerlendirilir. Faaliyetin tamamlanması riskin azaldığına tek başına kanıt sayılmaz.</w:t>
      </w:r>
    </w:p>
    <w:p>
      <w:pPr>
        <w:pStyle w:val="ListBullet"/>
      </w:pPr>
      <w:r>
        <w:rPr>
          <w:rFonts w:ascii="Calibri" w:hAnsi="Calibri"/>
        </w:rPr>
        <w:t>PFMEA iyileştirmelerinde önerilen, uygulanan ve etkinliği doğrulanan faaliyetler ayrı gösterilir. Yeniden puanlama saha sonucu veya doğrulama kanıtıyla desteklenir.</w:t>
      </w:r>
    </w:p>
    <w:p>
      <w:pPr>
        <w:pStyle w:val="ListBullet"/>
      </w:pPr>
      <w:r>
        <w:rPr>
          <w:rFonts w:ascii="Calibri" w:hAnsi="Calibri"/>
        </w:rPr>
        <w:t>LPA ve tetkik sonuçları yalnız gerçekleşme adediyle değerlendirilmez; tekrar, kapatma kalitesi ve saha uygulaması kontrol edilir.</w:t>
      </w:r>
    </w:p>
    <w:p>
      <w:pPr>
        <w:pStyle w:val="Heading1"/>
      </w:pPr>
      <w:r>
        <w:rPr>
          <w:rFonts w:ascii="Calibri" w:hAnsi="Calibri"/>
        </w:rPr>
        <w:t>4 Kararlar ve kaynak tahsisi</w:t>
      </w:r>
    </w:p>
    <w:p>
      <w:pPr>
        <w:pStyle w:val="ListBullet"/>
      </w:pPr>
      <w:r>
        <w:rPr>
          <w:rFonts w:ascii="Calibri" w:hAnsi="Calibri"/>
        </w:rPr>
        <w:t>Her karar için açık faaliyet, sorumlu görev / kişi, termin, gereken kaynak ve beklenen doğrulama ölçütü yazılır. Hedef, süreç, doküman veya kaynak değişikliği kararda açıkça belirtilir.</w:t>
      </w:r>
    </w:p>
    <w:p>
      <w:pPr>
        <w:pStyle w:val="ListBullet"/>
      </w:pPr>
      <w:r>
        <w:rPr>
          <w:rFonts w:ascii="Calibri" w:hAnsi="Calibri"/>
        </w:rPr>
        <w:t>Ürün güvenliği, müşteri koruma veya süreklilik açısından bekleyemeyen konuda geçici önlem ve yetkili karar aynı kayda alınır; sonraki toplantı beklenmez.</w:t>
      </w:r>
    </w:p>
    <w:p>
      <w:pPr>
        <w:pStyle w:val="ListBullet"/>
      </w:pPr>
      <w:r>
        <w:rPr>
          <w:rFonts w:ascii="Calibri" w:hAnsi="Calibri"/>
        </w:rPr>
        <w:t>Kaynak gerektiren veya ertelenen öneride karar gerekçesi, kalan risk ve bir sonraki gözden geçirme tarihi kaydedilir.</w:t>
      </w:r>
    </w:p>
    <w:p>
      <w:pPr>
        <w:pStyle w:val="Heading1"/>
      </w:pPr>
      <w:r>
        <w:rPr>
          <w:rFonts w:ascii="Calibri" w:hAnsi="Calibri"/>
        </w:rPr>
        <w:t>5 Takip ve kapatma</w:t>
      </w:r>
    </w:p>
    <w:p>
      <w:pPr>
        <w:pStyle w:val="ListBullet"/>
      </w:pPr>
      <w:r>
        <w:rPr>
          <w:rFonts w:ascii="Calibri" w:hAnsi="Calibri"/>
        </w:rPr>
        <w:t>Kalite, kararları EKG-YNT-FRM-02 üzerinden izler ve sorumlulara iletir. Sorumlu faaliyetin gerçekleşme kanıtını ve sonucunu kayda bağlar.</w:t>
      </w:r>
    </w:p>
    <w:p>
      <w:pPr>
        <w:pStyle w:val="ListBullet"/>
      </w:pPr>
      <w:r>
        <w:rPr>
          <w:rFonts w:ascii="Calibri" w:hAnsi="Calibri"/>
        </w:rPr>
        <w:t>Termin aşımı, yetersiz kanıt veya etkisiz sonuç Fabrika Yönetimine eskale edilir; yeni termin ve ek önlem gerekçesi kaydedilir.</w:t>
      </w:r>
    </w:p>
    <w:p>
      <w:pPr>
        <w:pStyle w:val="ListBullet"/>
      </w:pPr>
      <w:r>
        <w:rPr>
          <w:rFonts w:ascii="Calibri" w:hAnsi="Calibri"/>
        </w:rPr>
        <w:t>Faaliyet, doğrulama ölçütü karşılandıktan ve yetkili değerlendirmesi kaydedildikten sonra kapanır. Toplantı tutanağı katılım ve onay kaydıyla saklanır.</w:t>
      </w:r>
    </w:p>
    <w:p>
      <w:pPr>
        <w:pStyle w:val="Heading1"/>
      </w:pPr>
      <w:r>
        <w:rPr>
          <w:rFonts w:ascii="Calibri" w:hAnsi="Calibri"/>
        </w:rPr>
        <w:t>6 Kayıt düzeni</w:t>
      </w:r>
    </w:p>
    <w:p>
      <w:r>
        <w:rPr>
          <w:rFonts w:ascii="Calibri" w:hAnsi="Calibri"/>
        </w:rPr>
        <w:t>EKG-YNT-FRM-02 tutanağı; kaynak raporlar, kararlar, kaynak tahsisleri, açık faaliyetler ve kapanış kanıtlarını birbirine bağlar. Sonuçlar ilgili süreç sahiplerine ve gerekli vardiyalara iletilir.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EKG-YNT-FRM-02 / EKG-YNT-PLN-04 / EKG-KLT-PLN-04 / EKG-KLT-PRS-20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YGG girdilerine bağlam, ilgili taraf değişimleri ve risk/fırsat faaliyetlerinin etkinliği eklendi.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EKG-YNT-PRS-03</w:t>
          </w:r>
          <w:r>
            <w:rPr>
              <w:rFonts w:ascii="Calibri" w:hAnsi="Calibri"/>
              <w:b w:val="0"/>
              <w:sz w:val="17"/>
            </w:rPr>
            <w:br/>
            <w:t>İlk yayın: 05.05.2026</w:t>
          </w:r>
          <w:r>
            <w:rPr>
              <w:rFonts w:ascii="Calibri" w:hAnsi="Calibri"/>
              <w:b w:val="0"/>
              <w:sz w:val="17"/>
            </w:rPr>
            <w:br/>
            <w:t>Revizyon tarihi: 04.08.2026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EKG-YNT-PRS-03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Yönetimin Gözden Geçirmesi Prosedürü</dc:title>
  <dc:subject>EKG-YNT-PRS-03</dc:subject>
  <dc:creator>Ekol Glass</dc:creator>
  <cp:keywords/>
  <dc:description/>
  <cp:lastModifiedBy>Ekol Glass</cp:lastModifiedBy>
  <cp:revision>1</cp:revision>
  <dcterms:created xsi:type="dcterms:W3CDTF">2026-05-05T09:00:00Z</dcterms:created>
  <dcterms:modified xsi:type="dcterms:W3CDTF">2026-10-19T09:00:00Z</dcterms:modified>
  <cp:category/>
</cp:coreProperties>
</file>