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Kalite ve Lojistik Gösterge Tanımları, Veri Kaynağı ve Hesaplama Standardı</w:t>
      </w:r>
    </w:p>
    <w:p>
      <w:pPr>
        <w:pStyle w:val="Title"/>
      </w:pPr>
      <w:r>
        <w:rPr>
          <w:rFonts w:ascii="Calibri" w:hAnsi="Calibri"/>
        </w:rPr>
        <w:t>Kalite ve Lojistik Gösterge Tanımları Veri Kaynağı ve Hesaplama Standardı</w:t>
      </w:r>
    </w:p>
    <w:p>
      <w:r>
        <w:rPr>
          <w:rFonts w:ascii="Calibri" w:hAnsi="Calibri"/>
        </w:rPr>
        <w:t>Kalite ve lojistik göstergelerini aynı kapsam, veri kaynağı ve hesap yöntemiyle izlemek.</w:t>
      </w:r>
    </w:p>
    <w:p>
      <w:pPr>
        <w:pStyle w:val="Heading1"/>
      </w:pPr>
      <w:r>
        <w:rPr>
          <w:rFonts w:ascii="Calibri" w:hAnsi="Calibri"/>
        </w:rPr>
        <w:t>1 Ortak veri kuralları</w:t>
      </w:r>
    </w:p>
    <w:p>
      <w:pPr>
        <w:pStyle w:val="ListBullet"/>
      </w:pPr>
      <w:r>
        <w:rPr>
          <w:rFonts w:ascii="Calibri" w:hAnsi="Calibri"/>
        </w:rPr>
        <w:t>Gösterge kaydında dönem, müşteri / hat kapsamı, birim, pay, payda, kaynak kayıt, veri sorumlusu, hedef kaynağı ve güncelleme tarihi bulunur.</w:t>
      </w:r>
    </w:p>
    <w:p>
      <w:pPr>
        <w:pStyle w:val="ListBullet"/>
      </w:pPr>
      <w:r>
        <w:rPr>
          <w:rFonts w:ascii="Calibri" w:hAnsi="Calibri"/>
        </w:rPr>
        <w:t>Kayıtlar aynı kesim tarihi ve aynı ürün / sevkiyat kapsamıyla alınır. İptal sipariş ve müşteri kaynaklı tarih değişiklikleri gerekçesiyle izlenir; gerçekleşmiş gecikme sonradan tarih değiştirilerek kaldırılmaz.</w:t>
      </w:r>
    </w:p>
    <w:p>
      <w:pPr>
        <w:pStyle w:val="ListBullet"/>
      </w:pPr>
      <w:r>
        <w:rPr>
          <w:rFonts w:ascii="Calibri" w:hAnsi="Calibri"/>
        </w:rPr>
        <w:t>Payda sıfırsa oran hesaplanmaz; “veri yok / uygulanmadı” olarak belirtilir. Boş hücre sıfır veya başarılı sonuç sayılmaz.</w:t>
      </w:r>
    </w:p>
    <w:p>
      <w:pPr>
        <w:pStyle w:val="ListBullet"/>
      </w:pPr>
      <w:r>
        <w:rPr>
          <w:rFonts w:ascii="Calibri" w:hAnsi="Calibri"/>
        </w:rPr>
        <w:t>Bir parça birden fazla kusur taşıyorsa uygunsuz parça oranında bir kez sayılır; kusur adedi ayrıca izlenir. Yeniden işlenen ürün ilk seferde uygun olarak gösterilmez.</w:t>
      </w:r>
    </w:p>
    <w:p>
      <w:pPr>
        <w:pStyle w:val="Heading1"/>
      </w:pPr>
      <w:r>
        <w:rPr>
          <w:rFonts w:ascii="Calibri" w:hAnsi="Calibri"/>
        </w:rPr>
        <w:t>2 Kalite ve üretim göstergeleri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5"/>
        <w:gridCol w:w="5189"/>
        <w:gridCol w:w="2494"/>
      </w:tblGrid>
      <w:tr>
        <w:trPr>
          <w:tblHeader/>
          <w:cantSplit/>
        </w:trPr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Gösterge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Tanım / hesap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Veri kaynağı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uygunsuzluk PPM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Müşteride doğrulanan uygunsuz parça adedi / aynı kapsamda sevk edilen parça adedi × 1.000.000. Müşteri scorecard hesabı farklıysa kendi adıyla ayrıca izlenir.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bildirimi, teyitli kapsam, sevkiyat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uygunsuzluk oranı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İlk kontrolde uygunsuz bulunan parça / kontrol edilen parça × 100. Hurda ve yeniden işleme ayrı sınıflanır.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 kayıtları, üretim ve karantina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İlk seferde uygunluk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Yeniden işleme veya tamir olmadan ilk kontrolde uygun parça / ilk kontrolden geçen parça × 100.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İlk kontrol / üretim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Plan gerçekleşme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Dönemde tamamlanan uygun parça / aynı dönemin onaylı üretim planı adedi × 100. Fazla üretim ve ürün karması ayrıca açıklanır.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Onaylı plan, üretim ve kabul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Ölçüm kaynakları takibi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Kalibrasyonu / doğrulaması zamanı gelen ve tamamlanan cihaz adedi; geciken ve kullanım dışı cihazlar ayrıca.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Cihaz ana listesi, kalibrasyon / MSA kayıtları.</w:t>
            </w:r>
          </w:p>
        </w:tc>
      </w:tr>
    </w:tbl>
    <w:p>
      <w:pPr>
        <w:pStyle w:val="Heading1"/>
      </w:pPr>
      <w:r>
        <w:rPr>
          <w:rFonts w:ascii="Calibri" w:hAnsi="Calibri"/>
        </w:rPr>
        <w:t>3 Lojistik göstergeleri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5"/>
        <w:gridCol w:w="5189"/>
        <w:gridCol w:w="2494"/>
      </w:tblGrid>
      <w:tr>
        <w:trPr>
          <w:tblHeader/>
          <w:cantSplit/>
        </w:trPr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Gösterge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Tanım / hesap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Veri kaynağı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Zamanında teslimat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Mutabık tarihte ve istenen miktarda tamamlanan teslimat satırı / dönemde teslimi gereken satır × 100. Müşteri ölçüm tanımı önceliklidir.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Sipariş / EDI, sevk, ASN ve teslim teyidi.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Geç / eksik sevkiyat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Mutabık tarih veya miktarı karşılamayan sevkiyat olay adedi. Aynı olayın güncellemeleri yeni olay sayılmaz.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Sevkiyat planı, bildirim / teslim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Tedarikçi servis oranı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Mutabık tarih ve miktarda kabul edilen tedarik sipariş satırı / teslimi gereken tedarik satırı × 100.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Satınalma ve giriş kabul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Stok seviyesi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Malzeme / parça bazında kullanılabilir stok; karantina stokları ayrıca gösterilir. Min / maks. değerler onaylı tedarik ve tüketim planından alınır.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Stok sistemi, sayım, karantina kayıtları.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Stok kapsama günü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Kullanılabilir stok / geçerli planın günlük ihtiyacı. İhtiyaç sıfırsa gün hesabı yapılmaz.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Stok ve güncel müşteri / üretim planı.</w:t>
            </w:r>
          </w:p>
        </w:tc>
      </w:tr>
      <w:tr>
        <w:trPr>
          <w:cantSplit/>
        </w:trPr>
        <w:tc>
          <w:tcPr>
            <w:tcW w:type="dxa" w:w="22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servis oranı</w:t>
            </w:r>
          </w:p>
        </w:tc>
        <w:tc>
          <w:tcPr>
            <w:tcW w:type="dxa" w:w="51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Gerekli zaman, miktar ve doğru parça ile karşılanan iç besleme talebi / toplam iç besleme talebi × 100.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talep ve hat besleme kayıtları.</w:t>
            </w:r>
          </w:p>
        </w:tc>
      </w:tr>
    </w:tbl>
    <w:p>
      <w:pPr>
        <w:pStyle w:val="Heading1"/>
      </w:pPr>
      <w:r>
        <w:rPr>
          <w:rFonts w:ascii="Calibri" w:hAnsi="Calibri"/>
        </w:rPr>
        <w:t>4 Gözden geçirme ve düzeltme</w:t>
      </w:r>
    </w:p>
    <w:p>
      <w:pPr>
        <w:pStyle w:val="ListBullet"/>
      </w:pPr>
      <w:r>
        <w:rPr>
          <w:rFonts w:ascii="Calibri" w:hAnsi="Calibri"/>
        </w:rPr>
        <w:t>Veri sahibi günlük toplantı öncesi ilgili panoyu günceller; aylık sonucu EKG-YNT-PLN-04 üzerinden doğrular. İş güvenliği, bakım ve üretim göstergeleri günlük toplantı kapsamında ayrıca gösterilir.</w:t>
      </w:r>
    </w:p>
    <w:p>
      <w:pPr>
        <w:pStyle w:val="ListBullet"/>
      </w:pPr>
      <w:r>
        <w:rPr>
          <w:rFonts w:ascii="Calibri" w:hAnsi="Calibri"/>
        </w:rPr>
        <w:t>Hedefe göre durum gerçek veriyle değerlendirilir. Hedef dışı sonuç, tekrarlayan eğilim veya eksik veri için sorumlu ve terminli faaliyet açılır.</w:t>
      </w:r>
    </w:p>
    <w:p>
      <w:pPr>
        <w:pStyle w:val="ListBullet"/>
      </w:pPr>
      <w:r>
        <w:rPr>
          <w:rFonts w:ascii="Calibri" w:hAnsi="Calibri"/>
        </w:rPr>
        <w:t>Kaynak hatası düzeltildiğinde önceki değer, yeni değer, gerekçe ve onay kaydı korunur. Tanım veya kapsam değişikliğinde karşılaştırılabilirlik etkisi belirtilir.</w:t>
      </w:r>
    </w:p>
    <w:p>
      <w:pPr>
        <w:pStyle w:val="ListBullet"/>
      </w:pPr>
      <w:r>
        <w:rPr>
          <w:rFonts w:ascii="Calibri" w:hAnsi="Calibri"/>
        </w:rPr>
        <w:t>Karantina / safe launch sırasında veya müşteride bulunan hata, son kontrolde yakalanmış olması gerekçesiyle müşteri risk takibinden çıkarılmaz.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EKG-YNT-PLN-04 / EKG-YNT-FRM-02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EKG-YNT-STD-03</w:t>
          </w:r>
          <w:r>
            <w:rPr>
              <w:rFonts w:ascii="Calibri" w:hAnsi="Calibri"/>
              <w:b w:val="0"/>
              <w:sz w:val="17"/>
            </w:rPr>
            <w:br/>
            <w:t>İlk yayın: 18.05.2026</w:t>
          </w:r>
          <w:r>
            <w:rPr>
              <w:rFonts w:ascii="Calibri" w:hAnsi="Calibri"/>
              <w:b w:val="0"/>
              <w:sz w:val="17"/>
            </w:rPr>
            <w:br/>
            <w:t>Revizyon tarihi: 17.08.2026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EKG-YNT-STD-03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Kalite ve Lojistik Gösterge Tanımları, Veri Kaynağı ve Hesaplama Standardı</dc:title>
  <dc:subject>EKG-YNT-STD-03</dc:subject>
  <dc:creator>Ekol Glass</dc:creator>
  <cp:keywords/>
  <dc:description/>
  <cp:lastModifiedBy>Ekol Glass</cp:lastModifiedBy>
  <cp:revision>1</cp:revision>
  <dcterms:created xsi:type="dcterms:W3CDTF">2026-05-18T09:00:00Z</dcterms:created>
  <dcterms:modified xsi:type="dcterms:W3CDTF">2026-10-19T09:00:00Z</dcterms:modified>
  <cp:category/>
</cp:coreProperties>
</file>