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İç Tetkikçi ve İkinci Taraf Tetkikçi Yetkinlik Prosedürü</w:t>
      </w:r>
    </w:p>
    <w:p>
      <w:pPr>
        <w:pStyle w:val="para1"/>
      </w:pPr>
      <w:r>
        <w:rPr>
          <w:rFonts w:ascii="Calibri" w:hAnsi="Calibri"/>
        </w:rPr>
        <w:t>1 Amaç ve kapsam</w:t>
      </w:r>
    </w:p>
    <w:p>
      <w:r>
        <w:rPr>
          <w:rFonts w:ascii="Calibri" w:hAnsi="Calibri"/>
        </w:rPr>
        <w:t>İç sistem, üretim prosesi, ürün ve ikinci taraf tetkikçilerinin göreve uygun yetkinliğini ve tarafsızlığını doğrulamak. Yetkinlik kapsamı tetkik türü ve uygulanabilir müşteri şartına göre belirlenir.</w:t>
      </w:r>
    </w:p>
    <w:p>
      <w:pPr>
        <w:pStyle w:val="para1"/>
      </w:pPr>
      <w:r>
        <w:rPr>
          <w:rFonts w:ascii="Calibri" w:hAnsi="Calibri"/>
        </w:rPr>
        <w:t>2 Göreve uygun yeterlilik</w:t>
      </w:r>
    </w:p>
    <w:p>
      <w:r>
        <w:rPr>
          <w:rFonts w:ascii="Calibri" w:hAnsi="Calibri"/>
        </w:rPr>
        <w:t>Tetkikçi; süreç yaklaşımı ve risk temelli düşünme, tetkik planlama/örnekleme, nesnel kanıt, bulgu yazma ve faaliyet etkinliği değerlendirmesini gösterebilmelidir. Kendi işini tetkik etmez; çıkar çatışmasını bildirir.</w:t>
      </w:r>
    </w:p>
    <w:p>
      <w:r>
        <w:rPr>
          <w:rFonts w:ascii="Calibri" w:hAnsi="Calibri"/>
        </w:rPr>
        <w:t>Sistem tetkikçisi uygulanabilir ISO 9001/IATF ve müşteri şartlarını; proses tetkikçisi ilgili üretim prosesi, PFMEA, kontrol planı ve ihtiyaç duyulan temel kalite araçlarını; ürün tetkikçisi ürün/test şartı ve ölçüm cihazı kullanımını bilmelidir.</w:t>
      </w:r>
    </w:p>
    <w:p>
      <w:r>
        <w:rPr>
          <w:rFonts w:ascii="Calibri" w:hAnsi="Calibri"/>
        </w:rPr>
        <w:t>İkinci taraf tetkikçi tedarikçi riski, ilgili ürün/proses ve müşteri şartları, gereken kalite araçları ve tetkik uygulamasında yeterliliğini gösterir. VDA 6.3, MMOG/LE veya başka yöntem/sertifika yalnız görevin veya müşteri şartının gerektirdiği kapsamda aranır.</w:t>
      </w:r>
    </w:p>
    <w:p>
      <w:pPr>
        <w:pStyle w:val="para1"/>
      </w:pPr>
      <w:r>
        <w:rPr>
          <w:rFonts w:ascii="Calibri" w:hAnsi="Calibri"/>
        </w:rPr>
        <w:t>3 Değerlendirme ve yetkilendirme</w:t>
      </w:r>
    </w:p>
    <w:p>
      <w:r>
        <w:rPr>
          <w:rFonts w:ascii="Calibri" w:hAnsi="Calibri"/>
        </w:rPr>
        <w:t>Kalite; eğitim, deneyim, teknik uygulama ve gözetimli tetkik/bulgu örneklerini inceler. Eğitim sertifikası tek başına yetkinlik sonucu değildir. Adayın eksikleri için uygulamalı gelişim planı ve yetkin gözetmen belirlenir.</w:t>
      </w:r>
    </w:p>
    <w:p>
      <w:r>
        <w:rPr>
          <w:rFonts w:ascii="Calibri" w:hAnsi="Calibri"/>
        </w:rPr>
        <w:t>Yetkili yönetici; tetkik türü, proses/ürün kapsamı, kısıtlar ve onay tarihiyle yetkilendirme verir. Gerçek kanıtlar ve kapsam EKG-KLT-LST-08’de izlenir; doğrulanmayan kişi yetkin gösterilmez.</w:t>
      </w:r>
    </w:p>
    <w:p>
      <w:pPr>
        <w:pStyle w:val="para1"/>
      </w:pPr>
      <w:r>
        <w:rPr>
          <w:rFonts w:ascii="Calibri" w:hAnsi="Calibri"/>
        </w:rPr>
        <w:t>4 Sürdürme ve yeniden değerlendirme</w:t>
      </w:r>
    </w:p>
    <w:p>
      <w:r>
        <w:rPr>
          <w:rFonts w:ascii="Calibri" w:hAnsi="Calibri"/>
        </w:rPr>
        <w:t>Tetkik performansı, bulgu kalitesi, izleme/etkinlik doğrulaması, standart/müşteri değişiklikleri ve göreve uygun uygulama sürekliliği gözden geçirilir. Müşteri özel asgari faaliyet veya eğitim şartı varsa kaynağıyla uygulanır; kaynaksız genel yıllık adet zorunluluğu yazılmaz.</w:t>
      </w:r>
    </w:p>
    <w:p>
      <w:r>
        <w:rPr>
          <w:rFonts w:ascii="Calibri" w:hAnsi="Calibri"/>
        </w:rPr>
        <w:t>Uzun ara, yetersiz performans, kapsam değişikliği veya yeni teknik gereklilikte ek eğitim/gözetim ve yeniden değerlendirme yapılır. Yetki sınırlaması veya yeniden onay gerçek değerlendirme ve tarih ile kayıtlı olur.</w:t>
      </w:r>
    </w:p>
    <w:p>
      <w:pPr>
        <w:pStyle w:val="para1"/>
      </w:pPr>
      <w:r>
        <w:rPr>
          <w:rFonts w:ascii="Calibri" w:hAnsi="Calibri"/>
        </w:rPr>
        <w:t>5 Kayıtlar</w:t>
      </w:r>
    </w:p>
    <w:p>
      <w:r>
        <w:rPr>
          <w:rFonts w:ascii="Calibri" w:hAnsi="Calibri"/>
        </w:rPr>
        <w:t>EKG-KLT-LST-08 / EKG-KLT-PLN-04 / EKG-KLT-PRS-19. Eğitim, değerlendirme, yetki ve gerçekleşen tetkik kanıtları EKG-YNT-PRS-07’ye göre korunur.</w:t>
      </w:r>
    </w:p>
    <w:sectPr>
      <w:headerReference w:type="even" r:id="rIdEKGKimlik"/>
      <w:headerReference w:type="first" r:id="rIdEKGKimlik"/>
      <w:headerReference w:type="default" r:id="rId8"/>
      <w:footerReference w:type="default" r:id="rId9"/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Tetkikçi yeterliliği görev kanıtına bağlandı; kaynaksız sertifika ve yıllık adet zorunlulukları kaldırıldı.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EKG-KLT-PRS-24</w:t>
          </w:r>
          <w:r>
            <w:rPr>
              <w:rFonts w:ascii="Calibri" w:hAnsi="Calibri"/>
              <w:b w:val="0"/>
              <w:sz w:val="17"/>
            </w:rPr>
            <w:br/>
            <w:t>İlk yayın: 05.05.2026</w:t>
          </w:r>
          <w:r>
            <w:rPr>
              <w:rFonts w:ascii="Calibri" w:hAnsi="Calibri"/>
              <w:b w:val="0"/>
              <w:sz w:val="17"/>
            </w:rPr>
            <w:br/>
            <w:t>Revizyon tarihi: 04.08.2026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2323538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  <w:pPr>
      <w:spacing w:after="100" w:line="252" w:lineRule="auto"/>
    </w:pPr>
    <w:rPr>
      <w:rFonts w:ascii="Calibri" w:hAnsi="Calibri"/>
      <w:sz w:val="21"/>
    </w:rPr>
  </w:style>
  <w:style w:type="paragraph" w:styleId="para1">
    <w:name w:val="heading 1"/>
    <w:qFormat/>
    <w:basedOn w:val="para0"/>
    <w:next w:val="para0"/>
    <w:pPr>
      <w:spacing w:before="180" w:after="80"/>
      <w:keepNext/>
      <w:outlineLvl w:val="0"/>
      <w:keepLines/>
    </w:pPr>
    <w:rPr>
      <w:rFonts w:ascii="Calibri" w:hAnsi="Calibri" w:cs="Arial"/>
      <w:b/>
      <w:bCs/>
      <w:color w:val="18364A"/>
      <w:sz w:val="24"/>
      <w:szCs w:val="36"/>
    </w:rPr>
    <w:key w:val="1073"/>
  </w:style>
  <w:style w:type="paragraph" w:styleId="para2">
    <w:name w:val="heading 2"/>
    <w:qFormat/>
    <w:basedOn w:val="para1"/>
    <w:next w:val="para0"/>
    <w:pPr>
      <w:keepNext/>
      <w:spacing w:before="180" w:after="80"/>
      <w:outlineLvl w:val="1"/>
    </w:pPr>
    <w:rPr>
      <w:rFonts w:ascii="Calibri" w:hAnsi="Calibri"/>
      <w:b/>
      <w:color w:val="18364A"/>
      <w:sz w:val="22"/>
      <w:szCs w:val="32"/>
    </w:rPr>
    <w:key w:val="1074"/>
  </w:style>
  <w:style w:type="paragraph" w:styleId="para3">
    <w:name w:val="heading 3"/>
    <w:qFormat/>
    <w:basedOn w:val="para2"/>
    <w:next w:val="para0"/>
    <w:pPr>
      <w:keepNext/>
      <w:spacing w:before="180" w:after="80"/>
      <w:outlineLvl w:val="2"/>
    </w:pPr>
    <w:rPr>
      <w:rFonts w:ascii="Calibri" w:hAnsi="Calibri"/>
      <w:b/>
      <w:color w:val="18364A"/>
      <w:sz w:val="21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İç Tetkikçi ve İkinci Taraf Tetkikçi Yetkinlik Prosedürü</dc:title>
  <dc:subject>EKG-KLT-PRS-24</dc:subject>
  <dc:creator>Ekol Glass</dc:creator>
  <cp:keywords/>
  <dc:description/>
  <cp:lastModifiedBy>Ekol Glass</cp:lastModifiedBy>
  <cp:revision>1</cp:revision>
  <dcterms:created xsi:type="dcterms:W3CDTF">2026-05-05T09:00:00Z</dcterms:created>
  <dcterms:modified xsi:type="dcterms:W3CDTF">2026-10-19T09:00:00Z</dcterms:modified>
</cp:coreProperties>
</file>