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Garanti Şartları</w:t>
      </w:r>
    </w:p>
    <w:p>
      <w:r>
        <w:rPr>
          <w:rFonts w:ascii="Calibri" w:hAnsi="Calibri"/>
        </w:rPr>
        <w:t>Ekol Glass ürünlerine ait garanti kapsamını müşteri sözleşmesi ve izlenebilir inceleme düzeniyle tanımlamak.</w:t>
      </w:r>
    </w:p>
    <w:p>
      <w:pPr>
        <w:pStyle w:val="Heading1"/>
      </w:pPr>
      <w:r>
        <w:rPr>
          <w:rFonts w:ascii="Calibri" w:hAnsi="Calibri"/>
        </w:rPr>
        <w:t>1 Garanti kapsamının tanımı</w:t>
      </w:r>
    </w:p>
    <w:p>
      <w:r>
        <w:rPr>
          <w:rFonts w:ascii="Calibri" w:hAnsi="Calibri"/>
        </w:rPr>
        <w:t>Garanti kapsamı, aşağıdaki ticari kayıt ve bu kaydın atıf yaptığı yürürlükteki müşteri sözleşmesiyle uygulanır. Bu belge sözleşmedeki veya uygulanabilir mevzuattaki hakları daraltmaz; tek başına yeni süre, hak kaybı veya mali yükümlülük oluşturmaz.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Müşteri / ürün kaydı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Sözleşmeye göre bilgi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Müşteri / alıcı tüzel kişi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Sözleşme / sipariş no ve tarih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Ürün / parça no / teknik resim revizyonu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Garanti süresi ve süreyi başlatan olay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Kapsanan lot / teslimat / üretim dönemi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Uygulanacak teknik kabul şartı ve sürümü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Bildirim kanalı ve sözleşmedeki süreler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Maliyet / iade / telafiye ilişkin sözleşme maddeleri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Ekol Glass ticari onayı / tarih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Müşteri mutabakatı / tarih / kayıt no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2 Kapsam ve teknik dayanak</w:t>
      </w:r>
    </w:p>
    <w:p>
      <w:pPr>
        <w:pStyle w:val="ListBullet"/>
      </w:pPr>
      <w:r>
        <w:rPr>
          <w:rFonts w:ascii="Calibri" w:hAnsi="Calibri"/>
        </w:rPr>
        <w:t>İnceleme, tanımlı ürünün teslim tarihinde geçerli teknik resim, müşteri şartı ve sözleşmede taahhüt edilen özelliklere göre yapılır.</w:t>
      </w:r>
    </w:p>
    <w:p>
      <w:pPr>
        <w:pStyle w:val="ListBullet"/>
      </w:pPr>
      <w:r>
        <w:rPr>
          <w:rFonts w:ascii="Calibri" w:hAnsi="Calibri"/>
        </w:rPr>
        <w:t>Taşıma, depolama, montaj ve kullanım şartlarının ürüne etkisi kanıtla değerlendirilir. Bu koşullara ilişkin şüphe talebin otomatik reddine gerekçe olmaz.</w:t>
      </w:r>
    </w:p>
    <w:p>
      <w:pPr>
        <w:pStyle w:val="ListBullet"/>
      </w:pPr>
      <w:r>
        <w:rPr>
          <w:rFonts w:ascii="Calibri" w:hAnsi="Calibri"/>
        </w:rPr>
        <w:t>Kapsam, süre veya şart konusunda farklı belge bulunursa Ticari Yetkili ve Kalite Yöneticisi sözleşme sırasını ve müşteri mutabakatını doğrular; tek taraflı yeni koşul uygulanmaz.</w:t>
      </w:r>
    </w:p>
    <w:p>
      <w:pPr>
        <w:pStyle w:val="Heading1"/>
      </w:pPr>
      <w:r>
        <w:rPr>
          <w:rFonts w:ascii="Calibri" w:hAnsi="Calibri"/>
        </w:rPr>
        <w:t>3 Talep bildirimi ve ilk koruma</w:t>
      </w:r>
    </w:p>
    <w:p>
      <w:pPr>
        <w:pStyle w:val="ListBullet"/>
      </w:pPr>
      <w:r>
        <w:rPr>
          <w:rFonts w:ascii="Calibri" w:hAnsi="Calibri"/>
        </w:rPr>
        <w:t>Bildirimde müşteri, ürün / parça no, sevk / lot bilgisi, tespit tarihi, kullanım koşulu, uygunsuzluk tanımı ve mevcut fotoğraf / test kanıtı alınır. Eksik bilgi talebin izlenmesini durdurmaz; ek bilgi istenir.</w:t>
      </w:r>
    </w:p>
    <w:p>
      <w:pPr>
        <w:pStyle w:val="ListBullet"/>
      </w:pPr>
      <w:r>
        <w:rPr>
          <w:rFonts w:ascii="Calibri" w:hAnsi="Calibri"/>
        </w:rPr>
        <w:t>Kalite talebe kayıt numarası verir. Benzer lot, stok, yoldaki ürün ve müşteriye ulaşmış ürün etkisi değerlendirilir; gerekli koruma ve bildirim yürütülür.</w:t>
      </w:r>
    </w:p>
    <w:p>
      <w:pPr>
        <w:pStyle w:val="ListBullet"/>
      </w:pPr>
      <w:r>
        <w:rPr>
          <w:rFonts w:ascii="Calibri" w:hAnsi="Calibri"/>
        </w:rPr>
        <w:t>İade ürününün analiz öncesinde durumunu değiştirecek işlem yapılmaz. Güvenlik veya hasarın büyümesini önleme gereği varsa yapılan işlem ve ilk durum kaydedilir.</w:t>
      </w:r>
    </w:p>
    <w:p>
      <w:pPr>
        <w:pStyle w:val="Heading1"/>
      </w:pPr>
      <w:r>
        <w:rPr>
          <w:rFonts w:ascii="Calibri" w:hAnsi="Calibri"/>
        </w:rPr>
        <w:t>4 İade ve inceleme</w:t>
      </w:r>
    </w:p>
    <w:p>
      <w:pPr>
        <w:pStyle w:val="ListBullet"/>
      </w:pPr>
      <w:r>
        <w:rPr>
          <w:rFonts w:ascii="Calibri" w:hAnsi="Calibri"/>
        </w:rPr>
        <w:t>İade yöntemi, miktar, ambalaj, teslim noktası ve gerekli numuneler taraflarla yazılı teyit edilir. Ürün / etiket / ambalaj bilgisi korunur.</w:t>
      </w:r>
    </w:p>
    <w:p>
      <w:pPr>
        <w:pStyle w:val="ListBullet"/>
      </w:pPr>
      <w:r>
        <w:rPr>
          <w:rFonts w:ascii="Calibri" w:hAnsi="Calibri"/>
        </w:rPr>
        <w:t>Kalite, şikâyeti ve üretim / kontrol kayıtlarını karşılaştırır. Görünür hata, ölçüm, malzeme veya işlev analizi gerekli yöntem ve kabul şartıyla kaydedilir.</w:t>
      </w:r>
    </w:p>
    <w:p>
      <w:pPr>
        <w:pStyle w:val="ListBullet"/>
      </w:pPr>
      <w:r>
        <w:rPr>
          <w:rFonts w:ascii="Calibri" w:hAnsi="Calibri"/>
        </w:rPr>
        <w:t>Ürün bulunamaz veya kanıt yetersizse sonucun belirsiz olduğu belirtilir; doğrulanmamış neden veya kusur ataması yapılmaz. Gerekli ek analiz ve müşteri iletişimi sürdürülür.</w:t>
      </w:r>
    </w:p>
    <w:p>
      <w:pPr>
        <w:pStyle w:val="Heading1"/>
      </w:pPr>
      <w:r>
        <w:rPr>
          <w:rFonts w:ascii="Calibri" w:hAnsi="Calibri"/>
        </w:rPr>
        <w:t>5 Karar ve telafi</w:t>
      </w:r>
    </w:p>
    <w:p>
      <w:pPr>
        <w:pStyle w:val="ListBullet"/>
      </w:pPr>
      <w:r>
        <w:rPr>
          <w:rFonts w:ascii="Calibri" w:hAnsi="Calibri"/>
        </w:rPr>
        <w:t>Teknik sonuç Kalite Yöneticisince; ticari çözüm yetkili ticari yönetimce, sözleşme ve müşteri mutabakatına göre değerlendirilir.</w:t>
      </w:r>
    </w:p>
    <w:p>
      <w:pPr>
        <w:pStyle w:val="ListBullet"/>
      </w:pPr>
      <w:r>
        <w:rPr>
          <w:rFonts w:ascii="Calibri" w:hAnsi="Calibri"/>
        </w:rPr>
        <w:t>Yeniden işleme, değişim, bedel düzenlemesi, iade veya diğer çözüm; kapsamı, sorumlusu ve terminleriyle yazılı kayda bağlanır. Teknik inceleme sonucu otomatik olarak mali kabul veya ret sayılmaz.</w:t>
      </w:r>
    </w:p>
    <w:p>
      <w:pPr>
        <w:pStyle w:val="ListBullet"/>
      </w:pPr>
      <w:r>
        <w:rPr>
          <w:rFonts w:ascii="Calibri" w:hAnsi="Calibri"/>
        </w:rPr>
        <w:t>Tekrarlama riski bulunan konuda kök neden, düzeltici faaliyet ve etkinlik kontrolü yürütülür. Sonuç müşteriyle kayıtlı kanaldan paylaşılır.</w:t>
      </w:r>
    </w:p>
    <w:p>
      <w:pPr>
        <w:pStyle w:val="Heading1"/>
      </w:pPr>
      <w:r>
        <w:rPr>
          <w:rFonts w:ascii="Calibri" w:hAnsi="Calibri"/>
        </w:rPr>
        <w:t>6 Kayıt</w:t>
      </w:r>
    </w:p>
    <w:p>
      <w:r>
        <w:rPr>
          <w:rFonts w:ascii="Calibri" w:hAnsi="Calibri"/>
        </w:rPr>
        <w:t>Talep no; ürün / lot; sözleşme dayanağı; bildirim / iade tarihleri; koruma; inceleme kanıtları; teknik sonuç; ticari karar / müşteri mutabakatı; faaliyet ve kapanış kaydı birlikte saklanır.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EKG-KLT-TLM-01 / EKG-YNT-MTR-04 / EKG-KLT-PRS-14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Gereksiz boş paragraflar kaldırıldı; doküman kimliği ve tarih eşleşmesi güncellendi.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EKG-KLT-GAR-01</w:t>
          </w:r>
          <w:r>
            <w:rPr>
              <w:rFonts w:ascii="Calibri" w:hAnsi="Calibri"/>
              <w:b w:val="0"/>
              <w:sz w:val="17"/>
            </w:rPr>
            <w:br/>
            <w:t>İlk yayın: 18.05.2026</w:t>
          </w:r>
          <w:r>
            <w:rPr>
              <w:rFonts w:ascii="Calibri" w:hAnsi="Calibri"/>
              <w:b w:val="0"/>
              <w:sz w:val="17"/>
            </w:rPr>
            <w:br/>
            <w:t>Revizyon tarihi: 17.08.2026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EKG-KLT-GAR-01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Garanti Şartları</dc:title>
  <dc:subject>EKG-KLT-GAR-01</dc:subject>
  <dc:creator>Ekol Glass</dc:creator>
  <cp:keywords/>
  <dc:description/>
  <cp:lastModifiedBy>Ekol Glass</cp:lastModifiedBy>
  <cp:revision>1</cp:revision>
  <dcterms:created xsi:type="dcterms:W3CDTF">2026-05-18T09:00:00Z</dcterms:created>
  <dcterms:modified xsi:type="dcterms:W3CDTF">2026-10-19T09:00:00Z</dcterms:modified>
  <cp:category/>
</cp:coreProperties>
</file>