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Çevre Boyutları ve Atık Yönetimi Prosedürü (cam kırığı, boya atığı)</w:t>
      </w:r>
    </w:p>
    <w:p>
      <w:pPr>
        <w:pStyle w:val="Title"/>
      </w:pPr>
      <w:r>
        <w:rPr>
          <w:rFonts w:ascii="Calibri" w:hAnsi="Calibri"/>
        </w:rPr>
        <w:t>Çevre Boyutları ve Atık Yönetimi Prosedürü cam kırığı boya atığı</w:t>
      </w:r>
    </w:p>
    <w:p>
      <w:r>
        <w:rPr>
          <w:rFonts w:ascii="Calibri" w:hAnsi="Calibri"/>
        </w:rPr>
        <w:t>Çevre boyutlarını ve cam kırığı, boya / kimyasal ile diğer atıkların kontrollü yönetimini tanımlamak.</w:t>
      </w:r>
    </w:p>
    <w:p>
      <w:pPr>
        <w:pStyle w:val="Heading1"/>
      </w:pPr>
      <w:r>
        <w:rPr>
          <w:rFonts w:ascii="Calibri" w:hAnsi="Calibri"/>
        </w:rPr>
        <w:t>1 Kapsam ve sorumlular</w:t>
      </w:r>
    </w:p>
    <w:p>
      <w:pPr>
        <w:pStyle w:val="ListBullet"/>
      </w:pPr>
      <w:r>
        <w:rPr>
          <w:rFonts w:ascii="Calibri" w:hAnsi="Calibri"/>
        </w:rPr>
        <w:t>Üretim, depolama, bakım, temizlik ve dış kaynak ilişkilerinde malzeme, enerji / su kullanımı, atık, emisyon ve dökülme etkileri değerlendirilir. Normal çalışma, normal dışı durum ve acil durum ayrılır.</w:t>
      </w:r>
    </w:p>
    <w:p>
      <w:pPr>
        <w:pStyle w:val="ListBullet"/>
      </w:pPr>
      <w:r>
        <w:rPr>
          <w:rFonts w:ascii="Calibri" w:hAnsi="Calibri"/>
        </w:rPr>
        <w:t>Çevre Sorumlusu boyut / etki kaydını, atık sınıflandırmasını ve uygulanabilir izin / bildirim şartını takip eder. Üretim ve Bakım atığı kaynağında ayırır. Satınalma yetkili hizmet sağlayıcının kapsamını doğrular. Yönetim gerekli kaynağı sağlar.</w:t>
      </w:r>
    </w:p>
    <w:p>
      <w:pPr>
        <w:pStyle w:val="ListBullet"/>
      </w:pPr>
      <w:r>
        <w:rPr>
          <w:rFonts w:ascii="Calibri" w:hAnsi="Calibri"/>
        </w:rPr>
        <w:t>Dış kaynak toz boya faaliyetinde atık üreticisi, depolama, taşıma ve teslim sorumluluğu sözleşme ve gerçek faaliyet yerine göre belirlenir. Ekol Glass sahasında oluşmayan atık oluşmuş gibi kaydedilmez.</w:t>
      </w:r>
    </w:p>
    <w:p>
      <w:pPr>
        <w:pStyle w:val="Heading1"/>
      </w:pPr>
      <w:r>
        <w:rPr>
          <w:rFonts w:ascii="Calibri" w:hAnsi="Calibri"/>
        </w:rPr>
        <w:t>2 Boyut ve önem değerlendirmesi</w:t>
      </w:r>
    </w:p>
    <w:p>
      <w:pPr>
        <w:pStyle w:val="ListBullet"/>
      </w:pPr>
      <w:r>
        <w:rPr>
          <w:rFonts w:ascii="Calibri" w:hAnsi="Calibri"/>
        </w:rPr>
        <w:t>Her faaliyet için kaynak kullanımı / atık / salım, çevresel etki, çalışma koşulu, mevcut kontrol ve uygulanabilir şart kaydedilir.</w:t>
      </w:r>
    </w:p>
    <w:p>
      <w:pPr>
        <w:pStyle w:val="ListBullet"/>
      </w:pPr>
      <w:r>
        <w:rPr>
          <w:rFonts w:ascii="Calibri" w:hAnsi="Calibri"/>
        </w:rPr>
        <w:t>Yasal / izin şartını karşılamama, kontrolsüz çevreye yayılım, tehlikeli atıkta yetersiz kontrol veya önemli acil durum etkisi bulunan konu “Önemli” olarak ele alınır. Diğer konular miktar / tüketim eğilimi, kontrol durumu ve iyileştirme ihtiyacıyla değerlendirilir; karar gerekçesi yazılır.</w:t>
      </w:r>
    </w:p>
    <w:p>
      <w:pPr>
        <w:pStyle w:val="ListBullet"/>
      </w:pPr>
      <w:r>
        <w:rPr>
          <w:rFonts w:ascii="Calibri" w:hAnsi="Calibri"/>
        </w:rPr>
        <w:t>Yeni malzeme, proses, dış kaynak, olay veya şart değişikliğinde kayıt güncellenir. Planlı yönetim gözden geçirmesinde açık önemli boyutlar ve faaliyetler değerlendirilir.</w:t>
      </w:r>
    </w:p>
    <w:p>
      <w:pPr>
        <w:pStyle w:val="Heading1"/>
      </w:pPr>
      <w:r>
        <w:rPr>
          <w:rFonts w:ascii="Calibri" w:hAnsi="Calibri"/>
        </w:rPr>
        <w:t>3 Ayırma ve sınıflandırma</w:t>
      </w:r>
    </w:p>
    <w:p>
      <w:pPr>
        <w:pStyle w:val="ListBullet"/>
      </w:pPr>
      <w:r>
        <w:rPr>
          <w:rFonts w:ascii="Calibri" w:hAnsi="Calibri"/>
        </w:rPr>
        <w:t>Cam kırığı / fire; kâğıt, plastik ve metal; kimyasal / boya atığı; kirlenmiş ambalaj / bez; bakım yağı ve diğer özel atıklar birbirine karıştırılmadan uygun kapta biriktirilir.</w:t>
      </w:r>
    </w:p>
    <w:p>
      <w:pPr>
        <w:pStyle w:val="ListBullet"/>
      </w:pPr>
      <w:r>
        <w:rPr>
          <w:rFonts w:ascii="Calibri" w:hAnsi="Calibri"/>
        </w:rPr>
        <w:t>Atık kodu, tehlikelilik ve yönetim yolu oluştuğu proses, bileşim, güncel atık listesi ve gerektiğinde analizle belirlenir. “Cam”, “boya” veya “ambalaj” adı tek başına sınıflandırma için yeterli değildir.</w:t>
      </w:r>
    </w:p>
    <w:p>
      <w:pPr>
        <w:pStyle w:val="ListBullet"/>
      </w:pPr>
      <w:r>
        <w:rPr>
          <w:rFonts w:ascii="Calibri" w:hAnsi="Calibri"/>
        </w:rPr>
        <w:t>Keskin camlar delinmeye / taşmaya karşı uygun kapta toplanır. Kimyasal bulaşmış cam temiz cam akışına verilmez. Kimyasal atık kapları uyumlu, kapalı ve sızıntıyı önleyen düzen içinde tutulur.</w:t>
      </w:r>
    </w:p>
    <w:p>
      <w:pPr>
        <w:pStyle w:val="ListBullet"/>
      </w:pPr>
      <w:r>
        <w:rPr>
          <w:rFonts w:ascii="Calibri" w:hAnsi="Calibri"/>
        </w:rPr>
        <w:t>Boya / kimyasal atıkları, temizlik sıvıları ve bulaşmış malzemeler toprağa, gidere veya uygunluğu doğrulanmamış geri dönüşüm kabına verilmez.</w:t>
      </w:r>
    </w:p>
    <w:p>
      <w:pPr>
        <w:pStyle w:val="Heading1"/>
      </w:pPr>
      <w:r>
        <w:rPr>
          <w:rFonts w:ascii="Calibri" w:hAnsi="Calibri"/>
        </w:rPr>
        <w:t>4 Biriktirme ve teslim</w:t>
      </w:r>
    </w:p>
    <w:p>
      <w:pPr>
        <w:pStyle w:val="ListBullet"/>
      </w:pPr>
      <w:r>
        <w:rPr>
          <w:rFonts w:ascii="Calibri" w:hAnsi="Calibri"/>
        </w:rPr>
        <w:t>Biriktirme kaplarında atık tanımı, doğrulanan kod, oluşum / biriktirme tarihi ve gerekli tehlike bilgisi bulunur. Uyumsuz atıklar ayrı tutulur; karışım, kaçak ve izinsiz erişim önlenir.</w:t>
      </w:r>
    </w:p>
    <w:p>
      <w:pPr>
        <w:pStyle w:val="ListBullet"/>
      </w:pPr>
      <w:r>
        <w:rPr>
          <w:rFonts w:ascii="Calibri" w:hAnsi="Calibri"/>
        </w:rPr>
        <w:t>Geçici depolama koşulları, süre / miktar sınırı, izin gereği ve kayıt şartı güncel mevzuat ve tesis kapsamına göre Çevre Sorumlusunca belirlenir. Kontrol kaydında kap / alan, sızıntı, etiket, miktar ve düzeltme görülür.</w:t>
      </w:r>
    </w:p>
    <w:p>
      <w:pPr>
        <w:pStyle w:val="ListBullet"/>
      </w:pPr>
      <w:r>
        <w:rPr>
          <w:rFonts w:ascii="Calibri" w:hAnsi="Calibri"/>
        </w:rPr>
        <w:t>Teslim öncesi alıcı tesisin ve gerekli taşıyıcının yetki / lisans kapsamı ilgili atık koduyla doğrulanır. Miktar, tarih, taşıma / teslim belgesi, alıcı kabulü ve işlem kaydı birlikte saklanır.</w:t>
      </w:r>
    </w:p>
    <w:p>
      <w:pPr>
        <w:pStyle w:val="Heading1"/>
      </w:pPr>
      <w:r>
        <w:rPr>
          <w:rFonts w:ascii="Calibri" w:hAnsi="Calibri"/>
        </w:rPr>
        <w:t>5 Dökülme ve olay</w:t>
      </w:r>
    </w:p>
    <w:p>
      <w:pPr>
        <w:pStyle w:val="ListBullet"/>
      </w:pPr>
      <w:r>
        <w:rPr>
          <w:rFonts w:ascii="Calibri" w:hAnsi="Calibri"/>
        </w:rPr>
        <w:t>Dökülmede alan güvenli biçimde ayrılır; kaynak güvenle durdurulabiliyorsa durdurulur. Kimyasalın güvenlik bilgi formu ve acil durum düzenine göre eğitimli personel müdahale eder.</w:t>
      </w:r>
    </w:p>
    <w:p>
      <w:pPr>
        <w:pStyle w:val="ListBullet"/>
      </w:pPr>
      <w:r>
        <w:rPr>
          <w:rFonts w:ascii="Calibri" w:hAnsi="Calibri"/>
        </w:rPr>
        <w:t>Gidere / toprağa yayılım önlenir; kullanılan emici ve kirlenmiş malzemeler ayrı atık olarak yönetilir. Yetkisiz kişi kimyasal nötrleme veya karıştırma yapmaz.</w:t>
      </w:r>
    </w:p>
    <w:p>
      <w:pPr>
        <w:pStyle w:val="ListBullet"/>
      </w:pPr>
      <w:r>
        <w:rPr>
          <w:rFonts w:ascii="Calibri" w:hAnsi="Calibri"/>
        </w:rPr>
        <w:t>Olayın kaynağı, kapsamı, çevre etkisi ve alınan önlem kaydedilir. Gerekli dış bildirim yetkili görevli tarafından yürürlükteki yükümlülüğe göre yapılır; kök neden ve tekrar önleme takip edilir.</w:t>
      </w:r>
    </w:p>
    <w:p>
      <w:pPr>
        <w:pStyle w:val="Heading1"/>
      </w:pPr>
      <w:r>
        <w:rPr>
          <w:rFonts w:ascii="Calibri" w:hAnsi="Calibri"/>
        </w:rPr>
        <w:t>6 Çevre boyut kaydı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1"/>
        <w:gridCol w:w="1527"/>
        <w:gridCol w:w="2272"/>
        <w:gridCol w:w="1527"/>
        <w:gridCol w:w="2921"/>
      </w:tblGrid>
      <w:tr>
        <w:trPr>
          <w:tblHeader/>
          <w:cantSplit/>
        </w:trPr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Faaliyet / koşul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Boyut / etki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Şart / mevcut kontrol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Önem / gerekçe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Faaliyet / sorumlu / termin</w:t>
            </w:r>
          </w:p>
        </w:tc>
      </w:tr>
      <w:tr>
        <w:trPr>
          <w:cantSplit/>
        </w:trPr>
        <w:tc>
          <w:tcPr>
            <w:tcW w:type="dxa" w:w="1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Cam işleme / normal</w:t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Cam fire ve kırık oluşumu</w:t>
            </w:r>
          </w:p>
        </w:tc>
        <w:tc>
          <w:tcPr>
            <w:tcW w:type="dxa" w:w="2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Temizlik / normal dışı</w:t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Kimyasal ve kirlenmiş malzeme</w:t>
            </w:r>
          </w:p>
        </w:tc>
        <w:tc>
          <w:tcPr>
            <w:tcW w:type="dxa" w:w="2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Boya / dış kaynak</w:t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Boyama atığı ve sorumluluk sınırı</w:t>
            </w:r>
          </w:p>
        </w:tc>
        <w:tc>
          <w:tcPr>
            <w:tcW w:type="dxa" w:w="2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Bakım / acil durum</w:t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Yağ / kimyasal dökülmesi</w:t>
            </w:r>
          </w:p>
        </w:tc>
        <w:tc>
          <w:tcPr>
            <w:tcW w:type="dxa" w:w="2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/ normal</w:t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Enerji / su / hammadde kullanımı</w:t>
            </w:r>
          </w:p>
        </w:tc>
        <w:tc>
          <w:tcPr>
            <w:tcW w:type="dxa" w:w="2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9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7 Atık takip kayıtları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Asgari içerik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Atık tanımı / sınıflandırma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Faaliyet, atık adı / kodu, bileşim / analiz dayanağı, tehlikelilik, sorumlu.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Biriktirme / alan kontrolü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Kap / alan, başlangıç tarihi, miktar / birim, etiket / sızıntı, kontrol eden ve düzeltme.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Teslim / son işlem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Tarih, atık kodu / miktarı, taşıyıcı / alıcı yetki kanıtı, taşıma / kabul belgesi, işlem türü.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Faaliyet / etkinlik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Olay / açık konu, önlem, sorumlu, termin, doğrulama kanıtı ve kapanış.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EKG-YNT-LST-08 / EKG-YNT-PRS-05 / EKG-STN-PLN-04 / EKG-YNT-FRM-02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EKG-ISG-PRS-03</w:t>
          </w:r>
          <w:r>
            <w:rPr>
              <w:rFonts w:ascii="Calibri" w:hAnsi="Calibri"/>
              <w:b w:val="0"/>
              <w:sz w:val="17"/>
            </w:rPr>
            <w:br/>
            <w:t>İlk yayın: 06.05.2026</w:t>
          </w:r>
          <w:r>
            <w:rPr>
              <w:rFonts w:ascii="Calibri" w:hAnsi="Calibri"/>
              <w:b w:val="0"/>
              <w:sz w:val="17"/>
            </w:rPr>
            <w:br/>
            <w:t>Revizyon tarihi: 05.08.2026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EKG-ISG-PRS-03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Boyutları ve Atık Yönetimi Prosedürü (cam kırığı, boya atığı)</dc:title>
  <dc:subject>EKG-ISG-PRS-03</dc:subject>
  <dc:creator>Ekol Glass</dc:creator>
  <cp:keywords/>
  <dc:description/>
  <cp:lastModifiedBy>Ekol Glass</cp:lastModifiedBy>
  <cp:revision>1</cp:revision>
  <dcterms:created xsi:type="dcterms:W3CDTF">2026-05-06T09:00:00Z</dcterms:created>
  <dcterms:modified xsi:type="dcterms:W3CDTF">2026-10-19T09:00:00Z</dcterms:modified>
  <cp:category/>
</cp:coreProperties>
</file>