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Tedarikçi Kalite Gereklilikleri Şartnamesi (CSR ve özel karakteristik aktarımı)</w:t>
      </w:r>
    </w:p>
    <w:p>
      <w:pPr>
        <w:pStyle w:val="Title"/>
      </w:pPr>
      <w:r>
        <w:rPr>
          <w:rFonts w:ascii="Calibri" w:hAnsi="Calibri"/>
        </w:rPr>
        <w:t>Tedarikçi Kalite Gereklilikleri Şartnamesi CSR ve özel karakteristik aktarımı</w:t>
      </w:r>
    </w:p>
    <w:p>
      <w:r>
        <w:rPr>
          <w:rFonts w:ascii="Calibri" w:hAnsi="Calibri"/>
        </w:rPr>
        <w:t>Ekol Glass ürün ve dış proses tedarikçilerine uygulanacak kalite şartlarını aktarmak ve kabulünü doğrulamak.</w:t>
      </w:r>
    </w:p>
    <w:p>
      <w:pPr>
        <w:pStyle w:val="Heading1"/>
      </w:pPr>
      <w:r>
        <w:rPr>
          <w:rFonts w:ascii="Calibri" w:hAnsi="Calibri"/>
        </w:rPr>
        <w:t>1 Uygulama ve yetki</w:t>
      </w:r>
    </w:p>
    <w:p>
      <w:r>
        <w:rPr>
          <w:rFonts w:ascii="Calibri" w:hAnsi="Calibri"/>
        </w:rPr>
        <w:t>Şartname; hammadde, bileşen, dış üretim ve özel proses tedariklerine uygulanır. Sipariş/teknik eklerdeki parça ve proses şartlarıyla birlikte kullanılır. Uygulanacak müşteri özel şartı, revizyonu ve kapsamı yazılı olarak tedarikçiye iletilir.</w:t>
      </w:r>
    </w:p>
    <w:p>
      <w:r>
        <w:rPr>
          <w:rFonts w:ascii="Calibri" w:hAnsi="Calibri"/>
        </w:rPr>
        <w:t>Satınalma tebliği ve tedarikçi kabulünü, Kalite teknik kalite şartlarını ve yeterlilik kararını, Proje/Mühendislik teknik yapılabilirlik ve değişiklik değerlendirmesini yönetir. Tedarikçi kendi alt tedarikçilerine gereken şartları aktarır; sorumluluğu devredilmez.</w:t>
      </w:r>
    </w:p>
    <w:p>
      <w:pPr>
        <w:pStyle w:val="Heading1"/>
      </w:pPr>
      <w:r>
        <w:rPr>
          <w:rFonts w:ascii="Calibri" w:hAnsi="Calibri"/>
        </w:rPr>
        <w:t>2 Teklif ve kaynak onayı</w:t>
      </w:r>
    </w:p>
    <w:p>
      <w:pPr>
        <w:pStyle w:val="ListBullet"/>
      </w:pPr>
      <w:r>
        <w:rPr>
          <w:rFonts w:ascii="Calibri" w:hAnsi="Calibri"/>
        </w:rPr>
        <w:t>Tedarikçi; kapasite, teknoloji, ölçüm/test, yetkinlik, termin ve özel karakteristikler için yapılabilirliği teklif öncesinde değerlendirir. Sapma, eksik veri ve dış prosesleri yazılı bildirir.</w:t>
      </w:r>
    </w:p>
    <w:p>
      <w:pPr>
        <w:pStyle w:val="ListBullet"/>
      </w:pPr>
      <w:r>
        <w:rPr>
          <w:rFonts w:ascii="Calibri" w:hAnsi="Calibri"/>
        </w:rPr>
        <w:t>Teknik resim, PIS, özel karakteristik listesi, malzeme/proses şartı ve gerekli standartlar güncel revizyonla kullanılır. Çelişki veya belirsizlikte üretim öncesi Ekol Glass’tan yazılı açıklama alınır.</w:t>
      </w:r>
    </w:p>
    <w:p>
      <w:pPr>
        <w:pStyle w:val="ListBullet"/>
      </w:pPr>
      <w:r>
        <w:rPr>
          <w:rFonts w:ascii="Calibri" w:hAnsi="Calibri"/>
        </w:rPr>
        <w:t>Kaynak seçimi EKG-STN-FRM-05 ile kayıt altına alınır. Merkezden seçilen kaynakta da tesisin kapsam, yeterlilik, risk ve onay durumu doğrulanır. Kaynak onayı parça/proses PPAP kabulünün yerine geçmez.</w:t>
      </w:r>
    </w:p>
    <w:p>
      <w:pPr>
        <w:pStyle w:val="Heading1"/>
      </w:pPr>
      <w:r>
        <w:rPr>
          <w:rFonts w:ascii="Calibri" w:hAnsi="Calibri"/>
        </w:rPr>
        <w:t>3 Ürün ve proses yeterliliği</w:t>
      </w:r>
    </w:p>
    <w:p>
      <w:pPr>
        <w:pStyle w:val="ListBullet"/>
      </w:pPr>
      <w:r>
        <w:rPr>
          <w:rFonts w:ascii="Calibri" w:hAnsi="Calibri"/>
        </w:rPr>
        <w:t>Tedarikçi, istenen PPAP veya eşdeğer yeterlilik dosyasını kararlaştırılan kapsam ve tarihte sunar. Dosya; uygulanabilir teknik kayıt, akış, PFMEA, kontrol planı, ölçüm/test, kapasite ve özel karakteristik kanıtlarını kapsar.</w:t>
      </w:r>
    </w:p>
    <w:p>
      <w:pPr>
        <w:pStyle w:val="ListBullet"/>
      </w:pPr>
      <w:r>
        <w:rPr>
          <w:rFonts w:ascii="Calibri" w:hAnsi="Calibri"/>
        </w:rPr>
        <w:t>Dış prosesler ve alt bileşenler BOM ile eşleştirilir. Tier-2 yeterliliği Ekol Glass ürün/proses yeterliliğinden önce tamamlanır; gecikmede yalnız gerekli müşteri izni, süreli sapma ve doğrulanmış koruma ile ilerlenir.</w:t>
      </w:r>
    </w:p>
    <w:p>
      <w:pPr>
        <w:pStyle w:val="ListBullet"/>
      </w:pPr>
      <w:r>
        <w:rPr>
          <w:rFonts w:ascii="Calibri" w:hAnsi="Calibri"/>
        </w:rPr>
        <w:t>PPAP/ürün onayı ve giriş kabulü bulunmayan ürün serbest stoktan üretime verilmez. Süreli iznin parça, miktar, lot, süre ve ilave kontrol sınırı izlenir. Süresi/kapsamı aşılmış izin geçersizdir.</w:t>
      </w:r>
    </w:p>
    <w:p>
      <w:pPr>
        <w:pStyle w:val="ListBullet"/>
      </w:pPr>
      <w:r>
        <w:rPr>
          <w:rFonts w:ascii="Calibri" w:hAnsi="Calibri"/>
        </w:rPr>
        <w:t>Yeni veya değiştirilmiş ürün/proseste uygulanacak güçlendirilmiş kontrol; kontrol noktası, numune/frekans, kayıt, işaretleme, süre ve çıkış ölçütleriyle tanımlanır. PPAP kabulü tek başına bu kontrolün kaldırılması anlamına gelmez.</w:t>
      </w:r>
    </w:p>
    <w:p>
      <w:pPr>
        <w:pStyle w:val="Heading1"/>
      </w:pPr>
      <w:r>
        <w:rPr>
          <w:rFonts w:ascii="Calibri" w:hAnsi="Calibri"/>
        </w:rPr>
        <w:t>4 Risk ve özel karakteristiklerin aktarımı</w:t>
      </w:r>
    </w:p>
    <w:p>
      <w:pPr>
        <w:pStyle w:val="ListBullet"/>
      </w:pPr>
      <w:r>
        <w:rPr>
          <w:rFonts w:ascii="Calibri" w:hAnsi="Calibri"/>
        </w:rPr>
        <w:t xml:space="preserve">Güvenlik, mevzuat, kritik ve pass-through karakteristikler orijinal müşteri sembolüyle tanımlanır. Teknik doküman, PFMEA, kontrol planı ve ilgili iş talimatında kimlik tutarlı korunur. Ambalaj/etikete yalnız uygulanabilir müşteri şartının istediği işaretleme aktarılır.</w:t>
      </w:r>
    </w:p>
    <w:p>
      <w:pPr>
        <w:pStyle w:val="ListBullet"/>
      </w:pPr>
      <w:r>
        <w:rPr>
          <w:rFonts w:ascii="Calibri" w:hAnsi="Calibri"/>
        </w:rPr>
        <w:t>Tedarikçi, her yeni projede ve değişiklikte PFMEA/risk değerlendirmesine kendi alt tedarikçilerini ve dış proseslerini dahil eder. Geçmiş sorun, öğrenilen ders ve süreklilik riski değerlendirilir.</w:t>
      </w:r>
    </w:p>
    <w:p>
      <w:pPr>
        <w:pStyle w:val="ListBullet"/>
      </w:pPr>
      <w:r>
        <w:rPr>
          <w:rFonts w:ascii="Calibri" w:hAnsi="Calibri"/>
        </w:rPr>
        <w:t>Özel karakteristikler için onaylı kabul limiti, kontrol yöntemi, cihaz, numune/frekans, kayıt ve reaksiyon belirlenir. Tahribatsız son kontrolle doğrulanamayan özel proseste ekipman, personel ve proses parametrelerinin yeterliliği gösterilir.</w:t>
      </w:r>
    </w:p>
    <w:p>
      <w:pPr>
        <w:pStyle w:val="ListBullet"/>
      </w:pPr>
      <w:r>
        <w:rPr>
          <w:rFonts w:ascii="Calibri" w:hAnsi="Calibri"/>
        </w:rPr>
        <w:t>Pass-through karakteristiğin tedarikçideki kontrolü ve Ekol Glass giriş/sonraki kontrolü, risk ve müşteri şartıyla eşleştirilir. Yalnız uygunluk belgesine dayanarak özel karakteristik kontrolü kaldırılmaz.</w:t>
      </w:r>
    </w:p>
    <w:p>
      <w:pPr>
        <w:pStyle w:val="Heading1"/>
      </w:pPr>
      <w:r>
        <w:rPr>
          <w:rFonts w:ascii="Calibri" w:hAnsi="Calibri"/>
        </w:rPr>
        <w:t>5 Değişiklik izlenebilirlik ve uygunsuzluk</w:t>
      </w:r>
    </w:p>
    <w:p>
      <w:pPr>
        <w:pStyle w:val="ListBullet"/>
      </w:pPr>
      <w:r>
        <w:rPr>
          <w:rFonts w:ascii="Calibri" w:hAnsi="Calibri"/>
        </w:rPr>
        <w:t>Malzeme, kaynak/alt tedarikçi, tesis, ekipman, kalıp, proses, yazılım, kontrol, yeniden işlem veya onaylı akış değişikliği uygulanmadan önce bildirilir. Gerekli Ekol Glass ve müşteri onayları alınır; yeniden PPAP/test gereği karara bağlanır.</w:t>
      </w:r>
    </w:p>
    <w:p>
      <w:pPr>
        <w:pStyle w:val="ListBullet"/>
      </w:pPr>
      <w:r>
        <w:rPr>
          <w:rFonts w:ascii="Calibri" w:hAnsi="Calibri"/>
        </w:rPr>
        <w:t>Tedarikçi lotu, üretim tarihi, malzeme ve özel proses lotu; sevk ve üretim emrine kadar izlenir. FIFO, karışma önleme, yeniden işlem ve lot bölünme/birleşme kuralları müşteri şartına uygun işletilir.</w:t>
      </w:r>
    </w:p>
    <w:p>
      <w:pPr>
        <w:pStyle w:val="ListBullet"/>
      </w:pPr>
      <w:r>
        <w:rPr>
          <w:rFonts w:ascii="Calibri" w:hAnsi="Calibri"/>
        </w:rPr>
        <w:t>Şüpheli veya uygunsuz ürün belirlenince sevk durdurulur; etkilenen stok, transit ve önceki sevkiyat kapsamı Ekol Glass’a bildirilir. Ayırma, işaretleme, ayıklama ve tekrar kontrol kayıtları korunur.</w:t>
      </w:r>
    </w:p>
    <w:p>
      <w:pPr>
        <w:pStyle w:val="ListBullet"/>
      </w:pPr>
      <w:r>
        <w:rPr>
          <w:rFonts w:ascii="Calibri" w:hAnsi="Calibri"/>
        </w:rPr>
        <w:t>Tedarikçi 8D/istenen problem çözme yöntemini uygular; oluşum, kaçış ve sistem kök nedenlerini kanıtla doğrular. Yanıt ve faaliyet tarihleri bildirimdeki müşteri/sözleşme şartına göre belirlenir.</w:t>
      </w:r>
    </w:p>
    <w:p>
      <w:pPr>
        <w:pStyle w:val="ListBullet"/>
      </w:pPr>
      <w:r>
        <w:rPr>
          <w:rFonts w:ascii="Calibri" w:hAnsi="Calibri"/>
        </w:rPr>
        <w:t>Yeniden işlem veya şart sapması, onaylı talimat ve gerekli yazılı izin olmadan uygulanmaz. Tedarikçi kendi kararıyla teknik kabul şartını değiştiremez.</w:t>
      </w:r>
    </w:p>
    <w:p>
      <w:pPr>
        <w:pStyle w:val="Heading1"/>
      </w:pPr>
      <w:r>
        <w:rPr>
          <w:rFonts w:ascii="Calibri" w:hAnsi="Calibri"/>
        </w:rPr>
        <w:t>6 İzleme kayıt ve kabul</w:t>
      </w:r>
    </w:p>
    <w:p>
      <w:pPr>
        <w:pStyle w:val="ListBullet"/>
      </w:pPr>
      <w:r>
        <w:rPr>
          <w:rFonts w:ascii="Calibri" w:hAnsi="Calibri"/>
        </w:rPr>
        <w:t>Kalite, teslimat, şikâyet şiddeti/tekrarı, sertifika/mevzuat ve faaliyet kapanışı göstergeleri tedarikçiyle paylaşılır. Hedef dışı durumda EKG-STN-PRS-02 eskalasyonu ve destek planı uygulanır.</w:t>
      </w:r>
    </w:p>
    <w:p>
      <w:pPr>
        <w:pStyle w:val="ListBullet"/>
      </w:pPr>
      <w:r>
        <w:rPr>
          <w:rFonts w:ascii="Calibri" w:hAnsi="Calibri"/>
        </w:rPr>
        <w:t>Ekol Glass, risk bazlı denetim ve faaliyet etkinlik doğrulaması yapabilir. Tedarikçi güncel kayıtları ve uygulanabilir alt tedarikçi kanıtlarını erişilebilir tutar.</w:t>
      </w:r>
    </w:p>
    <w:p>
      <w:pPr>
        <w:pStyle w:val="ListBullet"/>
      </w:pPr>
      <w:r>
        <w:rPr>
          <w:rFonts w:ascii="Calibri" w:hAnsi="Calibri"/>
        </w:rPr>
        <w:t>Tebliğ; belge/revizyon, parça/proses kapsamı, açık hususlar, tedarikçi yetkilisi ve kabul tarihiyle EKG-STN-FRM-06’da kaydedilir. Kabul edilmemiş sapma sessiz kabul sayılmaz.</w:t>
      </w:r>
    </w:p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EKG-STN-FRM-05 / EKG-STN-FRM-06 / EKG-STN-MTR-02 / EKG-STN-FRM-03 / EKG-STN-STD-02 / EKG-STN-FRM-04 / EKG-STN-PRS-02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Özel karakteristik kimliği teknik zincirde korundu; ambalaj/etiket işaretlemesi gerçek müşteri gereğine bağlandı.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EKG-STN-STD-01</w:t>
          </w:r>
          <w:r>
            <w:rPr>
              <w:rFonts w:ascii="Calibri" w:hAnsi="Calibri"/>
              <w:b w:val="0"/>
              <w:sz w:val="17"/>
            </w:rPr>
            <w:br/>
            <w:t>İlk yayın: 19.05.2026</w:t>
          </w:r>
          <w:r>
            <w:rPr>
              <w:rFonts w:ascii="Calibri" w:hAnsi="Calibri"/>
              <w:b w:val="0"/>
              <w:sz w:val="17"/>
            </w:rPr>
            <w:br/>
            <w:t>Revizyon tarihi: 18.08.2026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EKG-STN-STD-01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Tedarikçi Kalite Gereklilikleri Şartnamesi (CSR ve özel karakteristik aktarımı)</dc:title>
  <dc:subject>EKG-STN-STD-01</dc:subject>
  <dc:creator>Ekol Glass</dc:creator>
  <cp:keywords/>
  <dc:description/>
  <cp:lastModifiedBy>Ekol Glass</cp:lastModifiedBy>
  <cp:revision>1</cp:revision>
  <dcterms:created xsi:type="dcterms:W3CDTF">2026-05-19T09:00:00Z</dcterms:created>
  <dcterms:modified xsi:type="dcterms:W3CDTF">2026-10-19T09:00:00Z</dcterms:modified>
  <cp:category/>
</cp:coreProperties>
</file>