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Alt Tedarikçi Lojistik Gereklilikleri ve Aktarım Standardı</w:t>
      </w:r>
    </w:p>
    <w:p>
      <w:r>
        <w:rPr>
          <w:rFonts w:ascii="Calibri" w:hAnsi="Calibri"/>
        </w:rPr>
        <w:t>Alt tedarikçilere sevkiyat, ambalaj, etiket, stok ve teslimat iletişimi şartlarını aktarmak.</w:t>
      </w:r>
    </w:p>
    <w:p>
      <w:pPr>
        <w:pStyle w:val="Heading1"/>
      </w:pPr>
      <w:r>
        <w:rPr>
          <w:rFonts w:ascii="Calibri" w:hAnsi="Calibri"/>
        </w:rPr>
        <w:t>1 Şartların tanımlanması</w:t>
      </w:r>
    </w:p>
    <w:p>
      <w:r>
        <w:rPr>
          <w:rFonts w:ascii="Calibri" w:hAnsi="Calibri"/>
        </w:rPr>
        <w:t>Lojistik, tedarikçi/parça/proses bazında uygulanacak sipariş programını, teslimat noktasını, termin ve miktarı, ambalaj/etiket standardını, veri değişimini ve irtibat düzenini belirler. Kaynak müşteri lojistik kılavuzunun bölgesi ve güncel revizyonu kayda alınır.</w:t>
      </w:r>
    </w:p>
    <w:p>
      <w:r>
        <w:rPr>
          <w:rFonts w:ascii="Calibri" w:hAnsi="Calibri"/>
        </w:rPr>
        <w:t>Satınalma bu şartları sipariş ekine bağlar ve EKG-STN-FRM-06 ile tedarikçi kabulünü alır. Teknik veya ticari şart çatışmasında yazılı çözüm olmadan tek taraflı yorum yapılmaz.</w:t>
      </w:r>
    </w:p>
    <w:p>
      <w:pPr>
        <w:pStyle w:val="Heading1"/>
      </w:pPr>
      <w:r>
        <w:rPr>
          <w:rFonts w:ascii="Calibri" w:hAnsi="Calibri"/>
        </w:rPr>
        <w:t>2 Görev ve iletişim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Görev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Sorumluluk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Lojistik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Program, ambalaj/etiket, sevk teyidi, stok ve teslimat riskini yönetir.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Satınalma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Şart aktarımı, tedarikçi kabulü ve kaynak/kapasite tedbirini izler.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Giriş kontrolü, ürün uygunluğu, hasar/karışma ve uygunsuz ürün kararını verir.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Tedarikçi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Yetkili irtibat ve vekili tanımlar; siparişi teyit eder; riski ve değişikliği önceden bildirir.</w:t>
            </w:r>
          </w:p>
        </w:tc>
      </w:tr>
    </w:tbl>
    <w:p>
      <w:pPr>
        <w:pStyle w:val="Heading1"/>
      </w:pPr>
      <w:r>
        <w:rPr>
          <w:rFonts w:ascii="Calibri" w:hAnsi="Calibri"/>
        </w:rPr>
        <w:t>3 Program ve sevkiyat</w:t>
      </w:r>
    </w:p>
    <w:p>
      <w:pPr>
        <w:pStyle w:val="ListBullet"/>
      </w:pPr>
      <w:r>
        <w:rPr>
          <w:rFonts w:ascii="Calibri" w:hAnsi="Calibri"/>
        </w:rPr>
        <w:t>Tedarikçi, teslimat programı ve değişikliklerini kayıtlı kanaldan alır; parça/revizyon, miktar, tarih, teslim yeri ve kısıtları kontrol eder. Karşılanamayan gereği sevkiyat zamanı gelmeden bildirir.</w:t>
      </w:r>
    </w:p>
    <w:p>
      <w:pPr>
        <w:pStyle w:val="ListBullet"/>
      </w:pPr>
      <w:r>
        <w:rPr>
          <w:rFonts w:ascii="Calibri" w:hAnsi="Calibri"/>
        </w:rPr>
        <w:t>Sevkte sipariş/çağrı, parça ve revizyon, miktar/birim, tedarikçi lotu, sevk tarihi, ambalaj adedi ve taşıma bilgisi eşleştirilir. İstenen ASN/EDI veya sevk bildirimi doğru ve zamanında gönderilir.</w:t>
      </w:r>
    </w:p>
    <w:p>
      <w:pPr>
        <w:pStyle w:val="ListBullet"/>
      </w:pPr>
      <w:r>
        <w:rPr>
          <w:rFonts w:ascii="Calibri" w:hAnsi="Calibri"/>
        </w:rPr>
        <w:t>Onaysız eksik/fazla teslimat, farklı revizyon veya farklı kaynak sevki yapılmaz. İstisna için yazılı teyit; kapsam, miktar ve tarih sınırıyla alınır.</w:t>
      </w:r>
    </w:p>
    <w:p>
      <w:pPr>
        <w:pStyle w:val="ListBullet"/>
      </w:pPr>
      <w:r>
        <w:rPr>
          <w:rFonts w:ascii="Calibri" w:hAnsi="Calibri"/>
        </w:rPr>
        <w:t>Sevke çıkan ürün ve ambalaj fiziksel hasar, kirlenme ve karışmayı önleyecek biçimde yüklenir. Taşıyıcı ve rota değişikliği gerekli onay ve ambalaj korumasıyla yönetilir.</w:t>
      </w:r>
    </w:p>
    <w:p>
      <w:pPr>
        <w:pStyle w:val="Heading1"/>
      </w:pPr>
      <w:r>
        <w:rPr>
          <w:rFonts w:ascii="Calibri" w:hAnsi="Calibri"/>
        </w:rPr>
        <w:t>4 Ambalaj etiket ve palet düzeni</w:t>
      </w:r>
    </w:p>
    <w:p>
      <w:pPr>
        <w:pStyle w:val="ListBullet"/>
      </w:pPr>
      <w:r>
        <w:rPr>
          <w:rFonts w:ascii="Calibri" w:hAnsi="Calibri"/>
        </w:rPr>
        <w:t>Ambalaj; onaylı ambalaj şartına göre adet, ayırıcı, destek, yüzey/kenar koruması ve istif düzeniyle hazırlanır. Cam ve boyalı profil birbirine temas ederek hasar oluşturacak şekilde yüklenmez.</w:t>
      </w:r>
    </w:p>
    <w:p>
      <w:pPr>
        <w:pStyle w:val="ListBullet"/>
      </w:pPr>
      <w:r>
        <w:rPr>
          <w:rFonts w:ascii="Calibri" w:hAnsi="Calibri"/>
        </w:rPr>
        <w:t>Etiket okunaklıdır; parça/revizyon, lot, miktar ve uygulanabilir barkod/özel işaret müşteri standardına uyar. Eski/çelişkili etiket kaldırılır. Hasarlı veya kimliği belirsiz ambalaj sevk edilmez.</w:t>
      </w:r>
    </w:p>
    <w:p>
      <w:pPr>
        <w:pStyle w:val="ListBullet"/>
      </w:pPr>
      <w:r>
        <w:rPr>
          <w:rFonts w:ascii="Calibri" w:hAnsi="Calibri"/>
        </w:rPr>
        <w:t>Palet yüksekliği, ağırlığı, istif yönü ve karışık palet izni onaylı ambalaj/taşıma standardından alınır; değerler kendiliğinden belirlenmez.</w:t>
      </w:r>
    </w:p>
    <w:p>
      <w:pPr>
        <w:pStyle w:val="ListBullet"/>
      </w:pPr>
      <w:r>
        <w:rPr>
          <w:rFonts w:ascii="Calibri" w:hAnsi="Calibri"/>
        </w:rPr>
        <w:t>Karışık palete izin veriliyorsa her parça/lot ayrı tanımlanır; dış etiket ve içerik listesi gerçek içerikle eşleşir. Ambalaj iade ve boş kap takibi gerektiğinde sayısal mutabakatla yapılır.</w:t>
      </w:r>
    </w:p>
    <w:p>
      <w:pPr>
        <w:pStyle w:val="Heading1"/>
      </w:pPr>
      <w:r>
        <w:rPr>
          <w:rFonts w:ascii="Calibri" w:hAnsi="Calibri"/>
        </w:rPr>
        <w:t>5 Stok ve süreklilik</w:t>
      </w:r>
    </w:p>
    <w:p>
      <w:pPr>
        <w:pStyle w:val="ListBullet"/>
      </w:pPr>
      <w:r>
        <w:rPr>
          <w:rFonts w:ascii="Calibri" w:hAnsi="Calibri"/>
        </w:rPr>
        <w:t xml:space="preserve">Raf ömrü olmayan ürünlerde FIFO, raf ömrü tanımlı malzemede önce süresi dolacak uygun malzemeyi önce kullanan FEFO uygulanır; müşteri özel sıralama şartı önceliklidir. Ürün/lot kimliği ve son kullanım tarihi korunur. Asgari stok/teminat günü teyit edilmiş tüketim ve tedarik süresine göre tanımlanır; süresi dolmuş veya karantina ürün uygun stok sayılmaz.</w:t>
      </w:r>
    </w:p>
    <w:p>
      <w:pPr>
        <w:pStyle w:val="ListBullet"/>
      </w:pPr>
      <w:r>
        <w:rPr>
          <w:rFonts w:ascii="Calibri" w:hAnsi="Calibri"/>
        </w:rPr>
        <w:t>Tedarikçi; kapasite açığı, enerji/iş gücü kesintisi, kalite blokajı, taşıma/gümrük engeli ve alt kaynak riskini fark ettiğinde Ekol Glass’a bildirir. Etkilenen sipariş, eldeki stok, transit miktar ve toparlanma planını verir.</w:t>
      </w:r>
    </w:p>
    <w:p>
      <w:pPr>
        <w:pStyle w:val="ListBullet"/>
      </w:pPr>
      <w:r>
        <w:rPr>
          <w:rFonts w:ascii="Calibri" w:hAnsi="Calibri"/>
        </w:rPr>
        <w:t>Kritik teslimat riski EKG-STN-PLN-02’ye alınır. Alternatif taşıma, stok veya kaynak çözümünde ürün onayı ve izlenebilirlik korunur. Onaysız ürün/proses alternatifi lojistik aciliyetle serbest bırakılamaz.</w:t>
      </w:r>
    </w:p>
    <w:p>
      <w:pPr>
        <w:pStyle w:val="Heading1"/>
      </w:pPr>
      <w:r>
        <w:rPr>
          <w:rFonts w:ascii="Calibri" w:hAnsi="Calibri"/>
        </w:rPr>
        <w:t>6 Giriş sapması ve kapanış</w:t>
      </w:r>
    </w:p>
    <w:p>
      <w:pPr>
        <w:pStyle w:val="ListBullet"/>
      </w:pPr>
      <w:r>
        <w:rPr>
          <w:rFonts w:ascii="Calibri" w:hAnsi="Calibri"/>
        </w:rPr>
        <w:t>Mal kabul; ambalaj bütünlüğü, miktar, temizlik, etiket, lot ve sevk belgesini kontrol eder. Kalite kabulü gereken ürün giriş kontrol kararı gelmeden üretime verilmez.</w:t>
      </w:r>
    </w:p>
    <w:p>
      <w:pPr>
        <w:pStyle w:val="ListBullet"/>
      </w:pPr>
      <w:r>
        <w:rPr>
          <w:rFonts w:ascii="Calibri" w:hAnsi="Calibri"/>
        </w:rPr>
        <w:t>Hasar, eksik/fazla miktar, yanlış etiket/revizyon veya gecikmede EKG-STN-FRM-04 açılır; ürün ve sevkiyat kapsamı belirlenir. Tedarikçi koruma ve kalıcı faaliyet sunar.</w:t>
      </w:r>
    </w:p>
    <w:p>
      <w:pPr>
        <w:pStyle w:val="ListBullet"/>
      </w:pPr>
      <w:r>
        <w:rPr>
          <w:rFonts w:ascii="Calibri" w:hAnsi="Calibri"/>
        </w:rPr>
        <w:t>Lojistik performans; teyitli sipariş ve gerçekleşen teslimat verisiyle izlenir. Hedef ve eşik sözleşme/müşteri şartından alınır; hedef sapması EKG-STN-PRS-02 kapsamında eskale edilir.</w:t>
      </w:r>
    </w:p>
    <w:p>
      <w:pPr>
        <w:pStyle w:val="ListBullet"/>
      </w:pPr>
      <w:r>
        <w:rPr>
          <w:rFonts w:ascii="Calibri" w:hAnsi="Calibri"/>
        </w:rPr>
        <w:t>Kapanış; fiziksel ve kayıt mutabakatı, tekrarın önlenmesi ve faaliyet etkinliğiyle yapılır. Şart değişikliği yeni revizyon olarak yeniden tebliğ edilir.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EKG-STN-FRM-06 / EKG-STN-STD-01 / EKG-STN-PLN-02 / EKG-STN-FRM-04 / EKG-YNT-MTR-04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Raf ömrü olan ürünler için FEFO ve geçersiz stok hariç tutma kuralı netleştirildi.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EKG-STN-STD-02</w:t>
          </w:r>
          <w:r>
            <w:rPr>
              <w:rFonts w:ascii="Calibri" w:hAnsi="Calibri"/>
              <w:b w:val="0"/>
              <w:sz w:val="17"/>
            </w:rPr>
            <w:br/>
            <w:t>İlk yayın: 19.05.2026</w:t>
          </w:r>
          <w:r>
            <w:rPr>
              <w:rFonts w:ascii="Calibri" w:hAnsi="Calibri"/>
              <w:b w:val="0"/>
              <w:sz w:val="17"/>
            </w:rPr>
            <w:br/>
            <w:t>Revizyon tarihi: 18.08.2026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EKG-STN-STD-02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 Tedarikçi Lojistik Gereklilikleri ve Aktarım Standardı</dc:title>
  <dc:subject>EKG-STN-STD-02</dc:subject>
  <dc:creator>Ekol Glass</dc:creator>
  <cp:keywords/>
  <dc:description/>
  <cp:lastModifiedBy>Ekol Glass</cp:lastModifiedBy>
  <cp:revision>1</cp:revision>
  <dcterms:created xsi:type="dcterms:W3CDTF">2026-05-19T09:00:00Z</dcterms:created>
  <dcterms:modified xsi:type="dcterms:W3CDTF">2026-10-19T09:00:00Z</dcterms:modified>
  <cp:category/>
</cp:coreProperties>
</file>