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EKGKimlik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Calibri" w:hAnsi="Calibri"/>
        </w:rPr>
        <w:t>Tedarikçi Değerlendirme Talimatı</w:t>
      </w:r>
    </w:p>
    <w:p>
      <w:pPr>
        <w:pStyle w:val="Heading1"/>
      </w:pPr>
      <w:r>
        <w:rPr>
          <w:rFonts w:ascii="Calibri" w:hAnsi="Calibri"/>
        </w:rPr>
        <w:t>1 Amaç ve veri dönemi</w:t>
      </w:r>
    </w:p>
    <w:p>
      <w:r>
        <w:rPr>
          <w:rFonts w:ascii="Calibri" w:hAnsi="Calibri"/>
        </w:rPr>
        <w:t>EKG-STN-FRM-01 için tek ve kanıta dayalı iç performans yöntemi uygulamak. Aynı tedarikçi/tesis, tedarik kapsamı ve değerlendirme dönemi kullanılır. Müşterinin farklı gösterge/sınıflandırması kendi adıyla ayrıca izlenir.</w:t>
      </w:r>
    </w:p>
    <w:p>
      <w:pPr>
        <w:pStyle w:val="Heading1"/>
      </w:pPr>
      <w:r>
        <w:rPr>
          <w:rFonts w:ascii="Calibri" w:hAnsi="Calibri"/>
        </w:rPr>
        <w:t>2 Alt oranların hesabı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6729"/>
      </w:tblGrid>
      <w:tr>
        <w:trPr>
          <w:tblHeader/>
          <w:cantSplit/>
        </w:trPr>
        <w:tc>
          <w:tcPr>
            <w:tcW w:type="dxa" w:w="33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Kriter / ağırlık</w:t>
            </w:r>
          </w:p>
        </w:tc>
        <w:tc>
          <w:tcPr>
            <w:tcW w:type="dxa" w:w="67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Hesap ve kayıt kuralı</w:t>
            </w:r>
          </w:p>
        </w:tc>
      </w:tr>
      <w:tr>
        <w:trPr>
          <w:cantSplit/>
        </w:trPr>
        <w:tc>
          <w:tcPr>
            <w:tcW w:type="dxa" w:w="33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Kalite uygunluğu / 40</w:t>
            </w:r>
          </w:p>
        </w:tc>
        <w:tc>
          <w:tcPr>
            <w:tcW w:type="dxa" w:w="67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İlk kontrolde uygun bulunan miktar / ilk kontrolde değerlendirilen miktar × 100. Aynı uygunsuz parça bir kez sayılır; yeniden işlem ilk uygunluk sayılmaz. Hizmette ölçülebilir, önceden kararlaştırılmış hizmet kabul birimi kullanılır. Örnekleme kapsamı kaydedilir.</w:t>
            </w:r>
          </w:p>
        </w:tc>
      </w:tr>
      <w:tr>
        <w:trPr>
          <w:cantSplit/>
        </w:trPr>
        <w:tc>
          <w:tcPr>
            <w:tcW w:type="dxa" w:w="33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Zamanında ve tam teslimat / 30</w:t>
            </w:r>
          </w:p>
        </w:tc>
        <w:tc>
          <w:tcPr>
            <w:tcW w:type="dxa" w:w="67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Mutabık tarih ve miktarda teslim edilen sipariş satırı / dönemde teslimi gereken satır × 100. Gerçek gecikme sonradan tarih değiştirilerek kaldırılmaz.</w:t>
            </w:r>
          </w:p>
        </w:tc>
      </w:tr>
      <w:tr>
        <w:trPr>
          <w:cantSplit/>
        </w:trPr>
        <w:tc>
          <w:tcPr>
            <w:tcW w:type="dxa" w:w="33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Yönetim/teknik yükümlülüklere uyum / 30</w:t>
            </w:r>
          </w:p>
        </w:tc>
        <w:tc>
          <w:tcPr>
            <w:tcW w:type="dxa" w:w="67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Termininde kanıtla tamamlanan şart/belge/faaliyet / dönemde tamamlanması gereken uygulanabilir şart/belge/faaliyet × 100. PPAP, 8D, değişiklik bildirimi ve istenen teknik belge kapsamı değerlendirme öncesi tanımlanır.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3 Toplam puan ve eksik veri</w:t>
      </w:r>
    </w:p>
    <w:p>
      <w:r>
        <w:rPr>
          <w:rFonts w:ascii="Calibri" w:hAnsi="Calibri"/>
        </w:rPr>
        <w:t>Her alt oran 0–100 aralığında olmalıdır. Ağırlıklı puan = alt oran × ağırlık / 100. Tüm kriterler uygulanıyorsa üç ağırlıklı puan toplanır.</w:t>
      </w:r>
    </w:p>
    <w:p>
      <w:r>
        <w:rPr>
          <w:rFonts w:ascii="Calibri" w:hAnsi="Calibri"/>
        </w:rPr>
        <w:t>Bir kriter işin niteliği nedeniyle uygulanmıyorsa gerekçe ve yetkili karar kaydedilir. Normalize toplam = uygulanabilir ağırlıklı puanlar toplamı / uygulanabilir ağırlık toplamı × 100. Uygulanabilir ağırlık sıfırsa sonuç hesaplanmaz.</w:t>
      </w:r>
    </w:p>
    <w:p>
      <w:r>
        <w:rPr>
          <w:rFonts w:ascii="Calibri" w:hAnsi="Calibri"/>
        </w:rPr>
        <w:t>Payda sıfır, veri eksik veya kanıt yetersizse sonuç “Veri yok / değerlendirme tamamlanmadı” olur; tam puan verilmez ve sırf veri eksikliğinden Uygulanmaz kararı çıkarılmaz. ISO veya diğer sertifikalar doğrulama girdisidir; otomatik A sınıfı oluşturmaz.</w:t>
      </w:r>
    </w:p>
    <w:p>
      <w:pPr>
        <w:pStyle w:val="Heading1"/>
      </w:pPr>
      <w:r>
        <w:rPr>
          <w:rFonts w:ascii="Calibri" w:hAnsi="Calibri"/>
        </w:rPr>
        <w:t>4 İç sınıf ve reaksiyon</w:t>
      </w:r>
    </w:p>
    <w:p>
      <w:r>
        <w:rPr>
          <w:rFonts w:ascii="Calibri" w:hAnsi="Calibri"/>
        </w:rPr>
        <w:t>A: 85–100; B: 70–85 altı; C: 0–70 altı. Ondalıklı sonuç yuvarlanmadan eşikle karşılaştırılır. Bunlar iç performans sınıflarıdır; kaynak onayı ve müşteri resmî sınıfından ayrıdır.</w:t>
      </w:r>
    </w:p>
    <w:p>
      <w:r>
        <w:rPr>
          <w:rFonts w:ascii="Calibri" w:hAnsi="Calibri"/>
        </w:rPr>
        <w:t>A’da mevcut kontroller ve risk takibi sürer. B’de zayıf kriter için sorumlu/terminli iyileştirme planlanır. C’de yönetim ve EKG-STN-PRS-02 ile kontrol seviyesi, destek, yeni iş ve alternatif kaynak kararı değerlendirilir.</w:t>
      </w:r>
    </w:p>
    <w:p>
      <w:r>
        <w:rPr>
          <w:rFonts w:ascii="Calibri" w:hAnsi="Calibri"/>
        </w:rPr>
        <w:t>Güvenlik/mevzuat şüphesi, geçersiz yeterlilik veya yakın müşteri duruşunda puandan bağımsız koruma ve eskalasyon yapılır. Çıkış ancak risk ve faaliyet etkinliği kanıtlanarak kaydedilir.</w:t>
      </w:r>
    </w:p>
    <w:p>
      <w:pPr>
        <w:pStyle w:val="Heading1"/>
      </w:pPr>
      <w:r>
        <w:rPr>
          <w:rFonts w:ascii="Calibri" w:hAnsi="Calibri"/>
        </w:rPr>
        <w:t>5 İzleme ve kayıt</w:t>
      </w:r>
    </w:p>
    <w:p>
      <w:r>
        <w:rPr>
          <w:rFonts w:ascii="Calibri" w:hAnsi="Calibri"/>
        </w:rPr>
        <w:t>Göstergeler en az aylık izlenir; resmi periyodik değerlendirme yılda en az bir ve kritik olay/değişiklikte yapılır. Pay, payda, kaynak, uygulanabilirlik, hesap, karar ve onay tarihi EKG-STN-FRM-01’de saklanır; EKG-STN-LST-01 güncellenir.</w:t>
      </w:r>
    </w:p>
    <w:sectPr w:rsidR="00F63EAA">
      <w:headerReference w:type="even" r:id="rIdEKGKimlik"/>
      <w:headerReference w:type="first" r:id="rIdEKGKimlik"/>
      <w:headerReference w:type="default" r:id="rIdEKGKimlik"/>
      <w:footerReference w:type="default" r:id="rId6"/>
      <w:pgSz w:w="11906" w:h="16838"/>
      <w:pgMar w:top="856" w:right="855" w:bottom="739" w:left="108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Otomatik tam puan kaldırıldı; ortak oran, ağırlık, eşik ve eksik veri kuralları tanımlandı.</w:t>
    </w:r>
  </w:p>
</w:ftr>
</file>

<file path=word/headerEKGKimlik.xml><?xml version="1.0" encoding="utf-8"?>
<w:hdr xmlns:w="http://schemas.openxmlformats.org/wordprocessingml/2006/main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EKG-STN-TLM-01</w:t>
          </w:r>
          <w:r>
            <w:rPr>
              <w:rFonts w:ascii="Calibri" w:hAnsi="Calibri"/>
              <w:b w:val="0"/>
              <w:sz w:val="17"/>
            </w:rPr>
            <w:br/>
            <w:t>İlk yayın: 20.05.2026</w:t>
          </w:r>
          <w:r>
            <w:rPr>
              <w:rFonts w:ascii="Calibri" w:hAnsi="Calibri"/>
              <w:b w:val="0"/>
              <w:sz w:val="17"/>
            </w:rPr>
            <w:br/>
            <w:t>Revizyon tarihi: 19.08.2026</w:t>
          </w:r>
        </w:p>
      </w:tc>
    </w:tr>
  </w:tbl>
  <w:p>
    <w:pPr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EAA"/>
    <w:rsid w:val="009F45BE"/>
    <w:rsid w:val="00DC3363"/>
    <w:rsid w:val="00F6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CE7F6"/>
  <w15:docId w15:val="{7E64FF31-17D7-4EFF-81C8-88310642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2" w:lineRule="auto"/>
      <w:ind w:left="56" w:hanging="10"/>
    </w:pPr>
    <w:rPr>
      <w:rFonts w:ascii="Calibri" w:eastAsia="Times New Roman" w:hAnsi="Calibri" w:cs="Times New Roman"/>
      <w:color w:val="000000"/>
      <w:sz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Heading1">
    <w:name w:val="heading 1"/>
    <w:pPr>
      <w:keepNext/>
      <w:spacing w:before="180" w:after="80"/>
    </w:pPr>
    <w:rPr>
      <w:rFonts w:ascii="Calibri" w:hAnsi="Calibri"/>
      <w:b/>
      <w:color w:val="18364A"/>
      <w:sz w:val="24"/>
    </w:rPr>
  </w:style>
  <w:style w:type="paragraph" w:customStyle="1" w:styleId="Heading2">
    <w:name w:val="heading 2"/>
    <w:pPr>
      <w:keepNext/>
      <w:spacing w:before="180" w:after="80"/>
    </w:pPr>
    <w:rPr>
      <w:rFonts w:ascii="Calibri" w:hAnsi="Calibri"/>
      <w:b/>
      <w:color w:val="18364A"/>
      <w:sz w:val="22"/>
    </w:rPr>
  </w:style>
  <w:style w:type="paragraph" w:customStyle="1" w:styleId="Heading3">
    <w:name w:val="heading 3"/>
    <w:pPr>
      <w:keepNext/>
      <w:spacing w:before="180" w:after="80"/>
    </w:pPr>
    <w:rPr>
      <w:rFonts w:ascii="Calibri" w:hAnsi="Calibri"/>
      <w:b/>
      <w:color w:val="18364A"/>
      <w:sz w:val="21"/>
    </w:rPr>
  </w:style>
  <w:style w:type="paragraph" w:customStyle="1" w:styleId="ListBullet">
    <w:name w:val="List Bullet"/>
  </w:style>
  <w:style w:type="paragraph" w:customStyle="1" w:styleId="ListNumber">
    <w:name w:val="List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EKGKimlik" Type="http://schemas.openxmlformats.org/officeDocument/2006/relationships/header" Target="headerEKGKimlik.xml"/><Relationship Id="rId6" Type="http://schemas.openxmlformats.org/officeDocument/2006/relationships/footer" Target="footer1.xml"/></Relationships>
</file>

<file path=word/_rels/headerEKGKimlik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Tedarikçi Değerlendirme Talimatı</dc:title>
  <dc:subject>EKG-STN-TLM-01</dc:subject>
  <dc:creator>Ekol Glass</dc:creator>
  <cp:keywords>ISO 9001 Talimatları</cp:keywords>
  <cp:lastModifiedBy>Ekol Glass</cp:lastModifiedBy>
  <cp:revision>2</cp:revision>
  <dcterms:created xsi:type="dcterms:W3CDTF">2026-05-20T09:00:00Z</dcterms:created>
  <dcterms:modified xsi:type="dcterms:W3CDTF">2026-10-19T09:00:00Z</dcterms:modified>
</cp:coreProperties>
</file>