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APQP ve PPAP Süreçleri ve Formları Kılavuzu</w:t>
      </w:r>
    </w:p>
    <w:p>
      <w:pPr>
        <w:pStyle w:val="Heading1"/>
      </w:pPr>
      <w:r>
        <w:rPr>
          <w:rFonts w:ascii="Calibri" w:hAnsi="Calibri"/>
        </w:rPr>
        <w:t>APQP ve PPAP Süreçleri Kılavuzu</w:t>
      </w:r>
    </w:p>
    <w:p>
      <w:r>
        <w:rPr>
          <w:rFonts w:ascii="Calibri" w:hAnsi="Calibri"/>
        </w:rPr>
        <w:t>Proje Yöneticisi, yeni ürün veya değişiklik için müşteri proje planını, uygulanacak APQP/PPAP sürümünü, sunum seviyesini ve tesis sorumluluklarını doğrular. Bu kılavuz müşterinin resmi formlarının yerine geçmez.</w:t>
      </w:r>
    </w:p>
    <w:p>
      <w:pPr>
        <w:pStyle w:val="Heading1"/>
      </w:pPr>
      <w:r>
        <w:rPr>
          <w:rFonts w:ascii="Calibri" w:hAnsi="Calibri"/>
        </w:rPr>
        <w:t>1. Planlama ve teknik sorumluluk</w:t>
      </w:r>
    </w:p>
    <w:p>
      <w:r>
        <w:rPr>
          <w:rFonts w:ascii="Calibri" w:hAnsi="Calibri"/>
        </w:rPr>
        <w:t>Müşteri çizimi, PIS/PCP, şartname revizyonları, kapasite, teslimat ve özel karakteristikler başlangıçta gözden geçirilir. Çapraz fonksiyonlu ekip EKG-PRJ-FRM-01, kaynak ihtiyacı EKG-PRJ-MTR-01 ve kapı kararları EKG-PRJ-FRM-02 ile kaydedilir.</w:t>
      </w:r>
    </w:p>
    <w:p>
      <w:r>
        <w:rPr>
          <w:rFonts w:ascii="Calibri" w:hAnsi="Calibri"/>
        </w:rPr>
        <w:t>Ürün tasarımı müşteriye aitse müşteri onaylı ürün tanımı girdi alınır; kuruluşun proses tasarımı sorumluluğu sürer. Ürün tasarımı sorumluluğu sözleşmeyle kuruluşa verilmişse DFMEA ve tasarım doğrulama kapsamı ayrıca planlanır.</w:t>
      </w:r>
    </w:p>
    <w:p>
      <w:pPr>
        <w:pStyle w:val="Heading1"/>
      </w:pPr>
      <w:r>
        <w:rPr>
          <w:rFonts w:ascii="Calibri" w:hAnsi="Calibri"/>
        </w:rPr>
        <w:t>2. Tasarım ve proses hazırlığı</w:t>
      </w:r>
    </w:p>
    <w:p>
      <w:r>
        <w:rPr>
          <w:rFonts w:ascii="Calibri" w:hAnsi="Calibri"/>
        </w:rPr>
        <w:t>Ürün tasarım girdileri, BOM, uygulanabilir DFMEA ve DVP&amp;R kayıtları teknik revizyona bağlanır. Akış, PFMEA (EKG-PRJ-FRM-03), özel karakteristikler (EKG-PRJ-LST-03), PIS/PCP (EKG-PRJ-FRM-22), kontrol planı, iş talimatı, ekipman ve alt tedarikçi gerekleri aynı ürün/proses kapsamını gösterir.</w:t>
      </w:r>
    </w:p>
    <w:p>
      <w:pPr>
        <w:pStyle w:val="Heading1"/>
      </w:pPr>
      <w:r>
        <w:rPr>
          <w:rFonts w:ascii="Calibri" w:hAnsi="Calibri"/>
        </w:rPr>
        <w:t>3. Doğrulama ve geçerli kılma</w:t>
      </w:r>
    </w:p>
    <w:p>
      <w:r>
        <w:rPr>
          <w:rFonts w:ascii="Calibri" w:hAnsi="Calibri"/>
        </w:rPr>
        <w:t>EKG-PRJ-PLN-05 ile nihai seri koşullarda ürün/proses testleri, ekipman, ölçüm sistemi, kapasite ve ambalaj doğrulanır; sonuçlar EKG-PRJ-FRM-21 ile kaydedilir. MSA kullanılan yönteme uygun değerlendirilir. Cpk/Ppk yorumu öncesinde örneklem, dağılım ve proses kararlılığı kontrol edilir; kabul hedefi geçerli müşteri şartından alınır.</w:t>
      </w:r>
    </w:p>
    <w:p>
      <w:pPr>
        <w:pStyle w:val="Heading1"/>
      </w:pPr>
      <w:r>
        <w:rPr>
          <w:rFonts w:ascii="Calibri" w:hAnsi="Calibri"/>
        </w:rPr>
        <w:t>4. PPAP kapsamı ve sunum</w:t>
      </w:r>
    </w:p>
    <w:p>
      <w:r>
        <w:rPr>
          <w:rFonts w:ascii="Calibri" w:hAnsi="Calibri"/>
        </w:rPr>
        <w:t>Uygulanabilir 18 kanıt başlığı: tasarım kayıtları; mühendislik değişiklikleri; müşteri mühendislik onayı; DFMEA; proses akışı; PFMEA; kontrol planı; MSA; boyutsal sonuçlar; malzeme/performans testleri; ilk proses çalışmaları; nitelikli laboratuvar kayıtları; görünüm onayı; numune üretim parçaları; şahit numune; kontrol yardımcıları; müşteri özel istekleri; PSW. Uygulanabilirlik ve sunulacak/tesiste tutulacak kayıtlar EKG-PRJ-FRM-13 ile kontrol edilir.</w:t>
      </w:r>
    </w:p>
    <w:p>
      <w:r>
        <w:rPr>
          <w:rFonts w:ascii="Calibri" w:hAnsi="Calibri"/>
        </w:rPr>
        <w:t>Seviye 1: PSW ve uygulanıyorsa görünüm onayı. Seviye 2: PSW, numune ve sınırlı destekleyici kayıt. Seviye 3: PSW, numune ve tam destekleyici kayıt kapsamı. Seviye 4: PSW ve müşteri tarafından belirlenen kapsam. Seviye 5: PSW, numune ve destekleyici kayıtların tesiste müşteri incelemesine hazır tutulması. Her seviyede güncel müşteri talebi ve sunum/saklama matrisi esas alınır.</w:t>
      </w:r>
    </w:p>
    <w:p>
      <w:r>
        <w:rPr>
          <w:rFonts w:ascii="Calibri" w:hAnsi="Calibri"/>
        </w:rPr>
        <w:t>Müşterinin resmi PSW ve onay kanalı kullanılır. Sunum ve müşteri kararı EKG-PRJ-FRM-23 ile izlenir. İç kabul, sunumun yapılması veya cevapsızlık müşteri onayı sayılmaz; seri sevkiyat gerekli geçerli müşteri onayı/izin kapsamıyla sınırlıdır.</w:t>
      </w:r>
    </w:p>
    <w:p>
      <w:pPr>
        <w:pStyle w:val="Heading1"/>
      </w:pPr>
      <w:r>
        <w:rPr>
          <w:rFonts w:ascii="Calibri" w:hAnsi="Calibri"/>
        </w:rPr>
        <w:t>5. Devir ve geri bildirim</w:t>
      </w:r>
    </w:p>
    <w:p>
      <w:r>
        <w:rPr>
          <w:rFonts w:ascii="Calibri" w:hAnsi="Calibri"/>
        </w:rPr>
        <w:t>Onaylı revizyonlar, parametreler, talimatlar, eğitimler ve açık konular seri üretim ekibine devredilir. Güvenli lansman çıkışı ayrı kanıtla değerlendirilir. Şikâyet, test uygunsuzluğu veya değişiklik PFMEA/kontrol planı ve öğrenilen derslere aktarılır.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EKGKimlik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APQP akışı yerel kayıtlarla bağlandı; PPAP sunum/saklama ve tasarım sorumluluğu düzeltildi.</w:t>
    </w:r>
  </w:p>
</w:ftr>
</file>

<file path=word/headerEKGKimlik.xml><?xml version="1.0" encoding="utf-8"?>
<w:hdr xmlns:w="http://schemas.openxmlformats.org/wordprocessingml/2006/main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EKG-PRJ-KLV-01</w:t>
          </w:r>
          <w:r>
            <w:rPr>
              <w:rFonts w:ascii="Calibri" w:hAnsi="Calibri"/>
              <w:b w:val="0"/>
              <w:sz w:val="17"/>
            </w:rPr>
            <w:br/>
            <w:t>İlk yayın: 20.05.2026</w:t>
          </w:r>
          <w:r>
            <w:rPr>
              <w:rFonts w:ascii="Calibri" w:hAnsi="Calibri"/>
              <w:b w:val="0"/>
              <w:sz w:val="17"/>
            </w:rPr>
            <w:br/>
            <w:t>Revizyon tarihi: 19.08.2026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EKGKimlik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APQP ve PPAP Süreçleri ve Formları Kılavuzu</dc:title>
  <dc:subject>EKG-PRJ-KLV-01</dc:subject>
  <dc:creator>Ekol Glass</dc:creator>
  <cp:keywords/>
  <dc:description>generated by python-docx</dc:description>
  <cp:lastModifiedBy>Ekol Glass</cp:lastModifiedBy>
  <cp:revision>1</cp:revision>
  <dcterms:created xsi:type="dcterms:W3CDTF">2026-05-20T09:00:00Z</dcterms:created>
  <dcterms:modified xsi:type="dcterms:W3CDTF">2026-10-19T09:00:00Z</dcterms:modified>
  <cp:category/>
</cp:coreProperties>
</file>