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EKGKimli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Hızlı Müdahale ve Günlük Üretim Liderlik Toplantısı Prosedürü</w:t>
      </w:r>
    </w:p>
    <w:p>
      <w:r>
        <w:rPr>
          <w:rFonts w:ascii="Calibri" w:hAnsi="Calibri"/>
        </w:rPr>
        <w:t>Son 24 saatin risklerini günlük yönetim toplantısında karara bağlamak ve açık faaliyetleri kanıtla kapatmak.</w:t>
      </w:r>
    </w:p>
    <w:p>
      <w:pPr>
        <w:pStyle w:val="Heading1"/>
      </w:pPr>
      <w:r>
        <w:rPr>
          <w:rFonts w:ascii="Calibri" w:hAnsi="Calibri"/>
        </w:rPr>
        <w:t>1 Uygulama</w:t>
      </w:r>
    </w:p>
    <w:p>
      <w:r>
        <w:rPr>
          <w:rFonts w:ascii="Calibri" w:hAnsi="Calibri"/>
        </w:rPr>
        <w:t>Toplantı her üretim gününde, sahadaki hızlı müdahale panosu önünde ve ilan edilen saatte yapılır. Süre 15–20 dakikadır. Fabrika Müdürü veya yetkilendirdiği üretim yöneticisi toplantıyı yönetir. Üretim, Kalite, Lojistik ve Bakım temsilcilerinin katılımı zorunludur; konuya göre diğer destek bölümleri katılır. Sorun çözme çalışması ilgili ekip tarafından toplantı dışında yürütülür.</w:t>
      </w:r>
    </w:p>
    <w:p>
      <w:r>
        <w:rPr>
          <w:rFonts w:ascii="Calibri" w:hAnsi="Calibri"/>
        </w:rPr>
        <w:t>İş güvenliği, ürün güvenliği, müşteri riski ve kontrol kaybı günlük toplantıyı beklemez. İlgili reaksiyon ve eskalasyon derhal başlatılır.</w:t>
      </w:r>
    </w:p>
    <w:p>
      <w:pPr>
        <w:pStyle w:val="Heading1"/>
      </w:pPr>
      <w:r>
        <w:rPr>
          <w:rFonts w:ascii="Calibri" w:hAnsi="Calibri"/>
        </w:rPr>
        <w:t>2 Sorumluluklar</w:t>
      </w:r>
    </w:p>
    <w:tbl>
      <w:tblPr>
        <w:tblW w:type="auto" w:w="0"/>
        <w:jc w:val="center"/>
        <w:tblLayout w:type="fixed"/>
        <w:tblLook w:firstColumn="1" w:firstRow="1" w:lastColumn="0" w:lastRow="0" w:noHBand="0" w:noVBand="1" w:val="04A0"/>
      </w:tblPr>
      <w:tblGrid>
        <w:gridCol w:w="2765"/>
        <w:gridCol w:w="7213"/>
      </w:tblGrid>
      <w:tr>
        <w:trPr>
          <w:tblHeader/>
          <w:cantSplit/>
        </w:trPr>
        <w:tc>
          <w:tcPr>
            <w:tcW w:type="dxa" w:w="4989"/>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Görev</w:t>
            </w:r>
          </w:p>
        </w:tc>
        <w:tc>
          <w:tcPr>
            <w:tcW w:type="dxa" w:w="4989"/>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Sorumluluk</w:t>
            </w:r>
          </w:p>
        </w:tc>
      </w:tr>
      <w:tr>
        <w:trPr>
          <w:cantSplit/>
        </w:trPr>
        <w:tc>
          <w:tcPr>
            <w:tcW w:type="dxa" w:w="276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Fabrika Müdürü / Yetkili Üretim Yöneticisi</w:t>
            </w:r>
          </w:p>
        </w:tc>
        <w:tc>
          <w:tcPr>
            <w:tcW w:type="dxa" w:w="7213"/>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Toplantıyı yönetir; günlük toplantıyı, saha turunu ve zorunlu bölüm katılımını sağlar; açık maddelere sorumlu, termin ve çıkış kriteri atar.</w:t>
            </w:r>
          </w:p>
        </w:tc>
      </w:tr>
      <w:tr>
        <w:trPr>
          <w:cantSplit/>
        </w:trPr>
        <w:tc>
          <w:tcPr>
            <w:tcW w:type="dxa" w:w="2765"/>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Kalite Sorumlusu</w:t>
            </w:r>
          </w:p>
        </w:tc>
        <w:tc>
          <w:tcPr>
            <w:tcW w:type="dxa" w:w="7213"/>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İç / dış kalite olaylarını, müşteri korumayı ve kalite alarmını bildirir; kapanışın kalite kanıtını doğrular.</w:t>
            </w:r>
          </w:p>
        </w:tc>
      </w:tr>
      <w:tr>
        <w:trPr>
          <w:cantSplit/>
        </w:trPr>
        <w:tc>
          <w:tcPr>
            <w:tcW w:type="dxa" w:w="276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Lojistik / Planlama Sorumlusu</w:t>
            </w:r>
          </w:p>
        </w:tc>
        <w:tc>
          <w:tcPr>
            <w:tcW w:type="dxa" w:w="7213"/>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Plan–gerçekleşen, stok, besleme, sevkiyat açığı ve müşteri teslimat riskini sunar.</w:t>
            </w:r>
          </w:p>
        </w:tc>
      </w:tr>
      <w:tr>
        <w:trPr>
          <w:cantSplit/>
        </w:trPr>
        <w:tc>
          <w:tcPr>
            <w:tcW w:type="dxa" w:w="2765"/>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Bakım Sorumlusu</w:t>
            </w:r>
          </w:p>
        </w:tc>
        <w:tc>
          <w:tcPr>
            <w:tcW w:type="dxa" w:w="7213"/>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Beklenmeyen duruş, tekrarlayan arıza ve ekipman devreye alma durumunu bildirir.</w:t>
            </w:r>
          </w:p>
        </w:tc>
      </w:tr>
      <w:tr>
        <w:trPr>
          <w:cantSplit/>
        </w:trPr>
        <w:tc>
          <w:tcPr>
            <w:tcW w:type="dxa" w:w="276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Vardiya Amiri</w:t>
            </w:r>
          </w:p>
        </w:tc>
        <w:tc>
          <w:tcPr>
            <w:tcW w:type="dxa" w:w="7213"/>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Saha turunu yürütür, vardiya devrini sağlar, operatör bildirimlerini ve sonuçlarını aktarır.</w:t>
            </w:r>
          </w:p>
        </w:tc>
      </w:tr>
      <w:tr>
        <w:trPr>
          <w:cantSplit/>
        </w:trPr>
        <w:tc>
          <w:tcPr>
            <w:tcW w:type="dxa" w:w="2765"/>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İSG / İnsan Kaynakları ve ilgili destekler</w:t>
            </w:r>
          </w:p>
        </w:tc>
        <w:tc>
          <w:tcPr>
            <w:tcW w:type="dxa" w:w="7213"/>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Güvenlik olayı, ramak kala, gerekli–mevcut çalışan ve yeterlilik riskini kendi alanında değerlendirir.</w:t>
            </w:r>
          </w:p>
        </w:tc>
      </w:tr>
      <w:tr>
        <w:trPr>
          <w:cantSplit/>
        </w:trPr>
        <w:tc>
          <w:tcPr>
            <w:tcW w:type="dxa" w:w="276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Fabrika Müdürü</w:t>
            </w:r>
          </w:p>
        </w:tc>
        <w:tc>
          <w:tcPr>
            <w:tcW w:type="dxa" w:w="7213"/>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Üst düzey kaynak ve risk kararlarını verir; çözülemeyen veya geciken kritik maddeleri sahiplenir.</w:t>
            </w:r>
          </w:p>
        </w:tc>
      </w:tr>
    </w:tbl>
    <w:p>
      <w:pPr>
        <w:pStyle w:val="Heading1"/>
      </w:pPr>
      <w:r>
        <w:rPr>
          <w:rFonts w:ascii="Calibri" w:hAnsi="Calibri"/>
        </w:rPr>
        <w:t>3 Toplantı öncesi</w:t>
      </w:r>
    </w:p>
    <w:p>
      <w:pPr>
        <w:pStyle w:val="ListBullet"/>
      </w:pPr>
      <w:r>
        <w:rPr>
          <w:rFonts w:ascii="Calibri" w:hAnsi="Calibri"/>
        </w:rPr>
        <w:t>Vardiya Amiri, EKG-URT-FRM-09 ile ana üretim ve depo alanlarını dolaşır. Kayıtla sahadaki durumu karşılaştırır; farkları ve geçici önlemleri kaydeder.</w:t>
      </w:r>
    </w:p>
    <w:p>
      <w:pPr>
        <w:pStyle w:val="ListBullet"/>
      </w:pPr>
      <w:r>
        <w:rPr>
          <w:rFonts w:ascii="Calibri" w:hAnsi="Calibri"/>
        </w:rPr>
        <w:t>Her bölüm sorumlusu verisini toplantıdan önce günceller. Veri tarihi, birimi, hedefi ve kaynağı görünür olur. Eksik veri boş veya “veri bekleniyor” olarak belirtilir; gerçekleşme yerine hedef yazılmaz.</w:t>
      </w:r>
    </w:p>
    <w:p>
      <w:pPr>
        <w:pStyle w:val="ListBullet"/>
      </w:pPr>
      <w:r>
        <w:rPr>
          <w:rFonts w:ascii="Calibri" w:hAnsi="Calibri"/>
        </w:rPr>
        <w:t>Son 24 saat için güvenlik / sağlık, gerekli ve mevcut çalışan (RTR), müşteri ve iç kalite, uygunsuzluk / hurda, üretim açığı, duruş, tedarik / besleme, teslimat, LPA, hata önleme arızası ve değişiklik noktaları taranır.</w:t>
      </w:r>
    </w:p>
    <w:p>
      <w:pPr>
        <w:pStyle w:val="ListBullet"/>
      </w:pPr>
      <w:r>
        <w:rPr>
          <w:rFonts w:ascii="Calibri" w:hAnsi="Calibri"/>
        </w:rPr>
        <w:t>Açık madde sahibi aksiyon kanıtını, ilerlemeyi, kalan riski ve termin sapmasını toplantıya getirir.</w:t>
      </w:r>
    </w:p>
    <w:p>
      <w:pPr>
        <w:pStyle w:val="Heading1"/>
      </w:pPr>
      <w:r>
        <w:rPr>
          <w:rFonts w:ascii="Calibri" w:hAnsi="Calibri"/>
        </w:rPr>
        <w:t>4 Toplantı akışı</w:t>
      </w:r>
    </w:p>
    <w:tbl>
      <w:tblPr>
        <w:tblW w:type="auto" w:w="0"/>
        <w:jc w:val="center"/>
        <w:tblLayout w:type="fixed"/>
        <w:tblLook w:firstColumn="1" w:firstRow="1" w:lastColumn="0" w:lastRow="0" w:noHBand="0" w:noVBand="1" w:val="04A0"/>
      </w:tblPr>
      <w:tblGrid>
        <w:gridCol w:w="2765"/>
        <w:gridCol w:w="7213"/>
      </w:tblGrid>
      <w:tr>
        <w:trPr>
          <w:tblHeader/>
          <w:cantSplit/>
        </w:trPr>
        <w:tc>
          <w:tcPr>
            <w:tcW w:type="dxa" w:w="4989"/>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Sıra</w:t>
            </w:r>
          </w:p>
        </w:tc>
        <w:tc>
          <w:tcPr>
            <w:tcW w:type="dxa" w:w="4989"/>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Uygulama / karar</w:t>
            </w:r>
          </w:p>
        </w:tc>
      </w:tr>
      <w:tr>
        <w:trPr>
          <w:cantSplit/>
        </w:trPr>
        <w:tc>
          <w:tcPr>
            <w:tcW w:type="dxa" w:w="276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1</w:t>
            </w:r>
          </w:p>
        </w:tc>
        <w:tc>
          <w:tcPr>
            <w:tcW w:type="dxa" w:w="7213"/>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Üretim, Kalite, Lojistik ve Bakım temsilcilerinin katılımını ve saha turu bulgularını teyit et. Güvenlik ve müşteri etkili olaylara öncelik ver.</w:t>
            </w:r>
          </w:p>
        </w:tc>
      </w:tr>
      <w:tr>
        <w:trPr>
          <w:cantSplit/>
        </w:trPr>
        <w:tc>
          <w:tcPr>
            <w:tcW w:type="dxa" w:w="2765"/>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2</w:t>
            </w:r>
          </w:p>
        </w:tc>
        <w:tc>
          <w:tcPr>
            <w:tcW w:type="dxa" w:w="7213"/>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Son 24 saatin KPI sonuçlarını hedefle karşılaştır. Hedef dışı her gösterge için aksiyon / açık madde numarası belirle.</w:t>
            </w:r>
          </w:p>
        </w:tc>
      </w:tr>
      <w:tr>
        <w:trPr>
          <w:cantSplit/>
        </w:trPr>
        <w:tc>
          <w:tcPr>
            <w:tcW w:type="dxa" w:w="276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3</w:t>
            </w:r>
          </w:p>
        </w:tc>
        <w:tc>
          <w:tcPr>
            <w:tcW w:type="dxa" w:w="7213"/>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Günlük üretim planını lojistikle karşılaştır. Eksik besleme, stok, kapasite ve sevkiyat için sorumlu ve karşı önlem belirle.</w:t>
            </w:r>
          </w:p>
        </w:tc>
      </w:tr>
      <w:tr>
        <w:trPr>
          <w:cantSplit/>
        </w:trPr>
        <w:tc>
          <w:tcPr>
            <w:tcW w:type="dxa" w:w="2765"/>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4</w:t>
            </w:r>
          </w:p>
        </w:tc>
        <w:tc>
          <w:tcPr>
            <w:tcW w:type="dxa" w:w="7213"/>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Yeni olayı açık maddeye kaydet; ilk olay / tekrar ayrımını, risk seviyesini ve müşteri etkisini belirt.</w:t>
            </w:r>
          </w:p>
        </w:tc>
      </w:tr>
      <w:tr>
        <w:trPr>
          <w:cantSplit/>
        </w:trPr>
        <w:tc>
          <w:tcPr>
            <w:tcW w:type="dxa" w:w="276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5</w:t>
            </w:r>
          </w:p>
        </w:tc>
        <w:tc>
          <w:tcPr>
            <w:tcW w:type="dxa" w:w="7213"/>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Her açık madde için sorumlu, geçici koruma, yapılacak iş, termin ve ölçülebilir çıkış kriterini gözden geçir.</w:t>
            </w:r>
          </w:p>
        </w:tc>
      </w:tr>
      <w:tr>
        <w:trPr>
          <w:cantSplit/>
        </w:trPr>
        <w:tc>
          <w:tcPr>
            <w:tcW w:type="dxa" w:w="2765"/>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6</w:t>
            </w:r>
          </w:p>
        </w:tc>
        <w:tc>
          <w:tcPr>
            <w:tcW w:type="dxa" w:w="7213"/>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Gecikme, yetersiz kaynak veya etkisiz önlemde EKG-KLT-PRS-13 uyarınca eskale et. Termin değişikliğinde gerekçe ve toplantı lideri kararı kaydedilir; ilk termin korunur.</w:t>
            </w:r>
          </w:p>
        </w:tc>
      </w:tr>
      <w:tr>
        <w:trPr>
          <w:cantSplit/>
        </w:trPr>
        <w:tc>
          <w:tcPr>
            <w:tcW w:type="dxa" w:w="276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7</w:t>
            </w:r>
          </w:p>
        </w:tc>
        <w:tc>
          <w:tcPr>
            <w:tcW w:type="dxa" w:w="7213"/>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Yeni kalite alarmı, değişiklik ve vardiyaya aktarılacak bilgileri belirle. Kararı ve bir sonraki kontrol zamanını kaydet.</w:t>
            </w:r>
          </w:p>
        </w:tc>
      </w:tr>
    </w:tbl>
    <w:p>
      <w:pPr>
        <w:pStyle w:val="Heading1"/>
      </w:pPr>
      <w:r>
        <w:rPr>
          <w:rFonts w:ascii="Calibri" w:hAnsi="Calibri"/>
        </w:rPr>
        <w:t>5 Açık madde ve kapanış</w:t>
      </w:r>
    </w:p>
    <w:p>
      <w:pPr>
        <w:pStyle w:val="ListBullet"/>
      </w:pPr>
      <w:r>
        <w:rPr>
          <w:rFonts w:ascii="Calibri" w:hAnsi="Calibri"/>
        </w:rPr>
        <w:t>EKG-URT-FRM-08 ana takip kaydıdır; pano bu kayıttaki güncel durumu gösterir. İşin ilk tanımı, kaynak kayıt ve ilgili parça / lot ilişkilendirilir.</w:t>
      </w:r>
    </w:p>
    <w:p>
      <w:pPr>
        <w:pStyle w:val="ListBullet"/>
      </w:pPr>
      <w:r>
        <w:rPr>
          <w:rFonts w:ascii="Calibri" w:hAnsi="Calibri"/>
        </w:rPr>
        <w:t>Çıkış kriteri faaliyetin bitmesinden önce yazılır: doğrulanacak şart, izleme dönemi veya üretim miktarı, hedef değer, kanıt ve doğrulayan kişi belirtilir. Müşteriye ait kriter ilgili sözleşme / bildirimden alınır.</w:t>
      </w:r>
    </w:p>
    <w:p>
      <w:pPr>
        <w:pStyle w:val="ListBullet"/>
      </w:pPr>
      <w:r>
        <w:rPr>
          <w:rFonts w:ascii="Calibri" w:hAnsi="Calibri"/>
        </w:rPr>
        <w:t>Oluşum, kaçış ve sistem nedenleri EKG-KLT-FRM-13 ile incelenir. Tekrar eden olayda önceki çözümün neden etkisiz kaldığı ayrıca değerlendirilir.</w:t>
      </w:r>
    </w:p>
    <w:p>
      <w:pPr>
        <w:pStyle w:val="ListBullet"/>
      </w:pPr>
      <w:r>
        <w:rPr>
          <w:rFonts w:ascii="Calibri" w:hAnsi="Calibri"/>
        </w:rPr>
        <w:t>Kapanış için düzeltme, kalıcı faaliyet, etkinlik sonucu, gerekli PFMEA / kontrol planı / PIS / talimat revizyonu, vardiya bilgilendirmesi ve yatay yayılım kanıtları incelenir.</w:t>
      </w:r>
    </w:p>
    <w:p>
      <w:pPr>
        <w:pStyle w:val="ListBullet"/>
      </w:pPr>
      <w:r>
        <w:rPr>
          <w:rFonts w:ascii="Calibri" w:hAnsi="Calibri"/>
        </w:rPr>
        <w:t>Toplantı lideri çıkış kriteri kanıtını incelemeden maddeyi kapatmaz. Kalite riski varsa Kalite Sorumlusunun doğrulaması da gerekir. Müşteri onayı gereken durumlarda ilgili yazılı onay olmadan koruma kaldırılmaz.</w:t>
      </w:r>
    </w:p>
    <w:p>
      <w:pPr>
        <w:pStyle w:val="Heading1"/>
      </w:pPr>
      <w:r>
        <w:rPr>
          <w:rFonts w:ascii="Calibri" w:hAnsi="Calibri"/>
        </w:rPr>
        <w:t>6 Vardiya devri ve görsel durum</w:t>
      </w:r>
    </w:p>
    <w:p>
      <w:r>
        <w:rPr>
          <w:rFonts w:ascii="Calibri" w:hAnsi="Calibri"/>
        </w:rPr>
        <w:t>Her vardiya başında yeni olaylar, duruşlar, geçici kontroller, karantina sınırı, kalite alarmları, hata önleme arızaları ve izinli geçici uygulamalar EKG-URT-FRM-09 ile devredilir. Devralan amir açık risk ve yapılacak işi teyit eder.</w:t>
      </w:r>
    </w:p>
    <w:p>
      <w:r>
        <w:rPr>
          <w:rFonts w:ascii="Calibri" w:hAnsi="Calibri"/>
        </w:rPr>
        <w:t>Pano durumları: kırmızı = acil risk veya gecikmiş iş; sarı = açık / etkinlik izleniyor; yeşil = kanıtla kapalı. Renk yanında durum metni bulunur. Kalite alarmı kaldırıldığında operatöre bildirilir.</w:t>
      </w:r>
    </w:p>
    <w:p>
      <w:pPr>
        <w:pStyle w:val="Heading1"/>
      </w:pPr>
      <w:r>
        <w:rPr>
          <w:rFonts w:ascii="Calibri" w:hAnsi="Calibri"/>
        </w:rPr>
        <w:t>7 Süreç kontrolü</w:t>
      </w:r>
    </w:p>
    <w:p>
      <w:r>
        <w:rPr>
          <w:rFonts w:ascii="Calibri" w:hAnsi="Calibri"/>
        </w:rPr>
        <w:t>Üretim ve Kalite Sorumluları aylık olarak açılan / kapanan madde, zamanında kapanma, tekrarlayan olay ve müşteride / içeride bulunan olay sayısını değerlendirir. Hesap ve veri kaynağı EKG-YNT-STD-03’e göre uygulanır. Boş kayıtlar başarılı sonuç sayılmaz.</w:t>
      </w:r>
    </w:p>
    <w:p>
      <w:r>
        <w:rPr>
          <w:rFonts w:ascii="Calibri" w:hAnsi="Calibri"/>
        </w:rPr>
        <w:t>Toplantı katılımı, pano güncellemesi, saha turu ve kapanış kanıtları doküman / kayıt kontrol sisteminde saklanır. Tekrarlayan gecikme veya etkisiz faaliyet yönetim seviyesinde ele alınır.</w:t>
      </w:r>
    </w:p>
    <w:p>
      <w:pPr>
        <w:pStyle w:val="Heading1"/>
      </w:pPr>
      <w:r>
        <w:rPr>
          <w:rFonts w:ascii="Calibri" w:hAnsi="Calibri"/>
        </w:rPr>
        <w:t>İlgili kayıtlar</w:t>
      </w:r>
    </w:p>
    <w:p>
      <w:r>
        <w:rPr>
          <w:rFonts w:ascii="Calibri" w:hAnsi="Calibri"/>
        </w:rPr>
        <w:t>EKG-URT-PNO-01 / EKG-URT-FRM-08 / EKG-URT-FRM-09 / EKG-KLT-PRS-13 / EKG-KLT-PRS-14 / EKG-KLT-FRM-13 / EKG-YNT-STD-03</w:t>
      </w:r>
    </w:p>
    <w:p>
      <w:pPr>
        <w:pStyle w:val="Heading1"/>
      </w:pPr>
      <w:r>
        <w:rPr>
          <w:rFonts w:ascii="Calibri" w:hAnsi="Calibri"/>
        </w:rPr>
        <w:t>Belge onayı</w:t>
      </w:r>
    </w:p>
    <w:tbl>
      <w:tblPr>
        <w:tblW w:type="auto" w:w="0"/>
        <w:jc w:val="center"/>
        <w:tblLayout w:type="fixed"/>
        <w:tblLook w:firstColumn="1" w:firstRow="1" w:lastColumn="0" w:lastRow="0" w:noHBand="0" w:noVBand="1" w:val="04A0"/>
      </w:tblPr>
      <w:tblGrid>
        <w:gridCol w:w="2494"/>
        <w:gridCol w:w="2494"/>
        <w:gridCol w:w="2494"/>
        <w:gridCol w:w="2494"/>
      </w:tblGrid>
      <w:tr>
        <w:trPr>
          <w:tblHeader/>
          <w:cantSplit/>
        </w:trPr>
        <w:tc>
          <w:tcPr>
            <w:tcW w:type="dxa" w:w="2494"/>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Hazırlayan</w:t>
            </w:r>
          </w:p>
        </w:tc>
        <w:tc>
          <w:tcPr>
            <w:tcW w:type="dxa" w:w="2494"/>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Kontrol eden</w:t>
            </w:r>
          </w:p>
        </w:tc>
        <w:tc>
          <w:tcPr>
            <w:tcW w:type="dxa" w:w="2494"/>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Onaylayan</w:t>
            </w:r>
          </w:p>
        </w:tc>
        <w:tc>
          <w:tcPr>
            <w:tcW w:type="dxa" w:w="2494"/>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Onay tarihi</w:t>
            </w:r>
          </w:p>
        </w:tc>
      </w:tr>
      <w:tr>
        <w:trPr>
          <w:cantSplit/>
        </w:trPr>
        <w:tc>
          <w:tcPr>
            <w:tcW w:type="dxa" w:w="249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r>
          </w:p>
        </w:tc>
        <w:tc>
          <w:tcPr>
            <w:tcW w:type="dxa" w:w="249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r>
          </w:p>
        </w:tc>
        <w:tc>
          <w:tcPr>
            <w:tcW w:type="dxa" w:w="249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r>
          </w:p>
        </w:tc>
        <w:tc>
          <w:tcPr>
            <w:tcW w:type="dxa" w:w="249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r>
          </w:p>
        </w:tc>
      </w:tr>
    </w:tbl>
    <w:sectPr w:rsidR="00FC693F" w:rsidRPr="0006063C" w:rsidSect="00034616">
      <w:headerReference w:type="even" r:id="rIdEKGKimlik"/>
      <w:headerReference w:type="first" r:id="rIdEKGKimlik"/>
      <w:headerReference w:type="default" r:id="rId9"/>
      <w:footerReference w:type="default" r:id="rId10"/>
      <w:pgSz w:w="11906" w:h="16838"/>
      <w:pgMar w:top="1502" w:right="964" w:bottom="935"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 xml:space="preserve">Sayfa </w:t>
    </w:r>
    <w:fldSimple w:instr="PAGE"/>
    <w:r>
      <w:t xml:space="preserve"> / </w:t>
    </w:r>
    <w:fldSimple w:instr="NUMPAGES"/>
  </w:p>
  <w:p>
    <w:pPr>
      <w:spacing w:before="0" w:after="0"/>
    </w:pPr>
    <w:r>
      <w:rPr>
        <w:rFonts w:ascii="Arial" w:hAnsi="Arial"/>
        <w:sz w:val="20"/>
      </w:rPr>
      <w:t>Revizyon nedeni: Gereksiz boş paragraflar kaldırıldı; doküman kimliği ve tarih eşleşmesi güncellendi.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628"/>
      <w:gridCol w:w="6463"/>
    </w:tblGrid>
    <w:tr>
      <w:tc>
        <w:tcPr>
          <w:tcW w:type="dxa" w:w="5046"/>
        </w:tcPr>
        <w:p>
          <w:pPr>
            <w:spacing w:after="0"/>
          </w:pPr>
          <w:r>
            <w:drawing>
              <wp:inline xmlns:a="http://schemas.openxmlformats.org/drawingml/2006/main" xmlns:pic="http://schemas.openxmlformats.org/drawingml/2006/picture">
                <wp:extent cx="1296000" cy="4482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296000" cy="448200"/>
                        </a:xfrm>
                        <a:prstGeom prst="rect"/>
                      </pic:spPr>
                    </pic:pic>
                  </a:graphicData>
                </a:graphic>
              </wp:inline>
            </w:drawing>
          </w:r>
        </w:p>
      </w:tc>
      <w:tc>
        <w:tcPr>
          <w:tcW w:type="dxa" w:w="5046"/>
        </w:tcPr>
        <w:p>
          <w:pPr>
            <w:spacing w:after="0"/>
            <w:jc w:val="right"/>
          </w:pPr>
          <w:r>
            <w:rPr>
              <w:rFonts w:ascii="Calibri" w:hAnsi="Calibri"/>
              <w:b/>
              <w:sz w:val="17"/>
            </w:rPr>
            <w:t>EKG-URT-PRS-07</w:t>
          </w:r>
          <w:r>
            <w:rPr>
              <w:rFonts w:ascii="Calibri" w:hAnsi="Calibri"/>
              <w:b w:val="0"/>
              <w:sz w:val="17"/>
            </w:rPr>
            <w:br/>
            <w:t>İlk yayın: 08.05.2026</w:t>
          </w:r>
          <w:r>
            <w:rPr>
              <w:rFonts w:ascii="Calibri" w:hAnsi="Calibri"/>
              <w:b w:val="0"/>
              <w:sz w:val="17"/>
            </w:rPr>
            <w:br/>
            <w:t>Revizyon tarihi: 07.08.2026</w:t>
          </w:r>
        </w:p>
      </w:tc>
    </w:tr>
  </w:tbl>
  <w:p>
    <w:pPr>
      <w:spacing w:after="0"/>
    </w:pPr>
  </w:p>
</w:hdr>
</file>

<file path=word/headerEKGKimlik.xml><?xml version="1.0" encoding="utf-8"?>
<w:hdr xmlns:w="http://schemas.openxmlformats.org/wordprocessingml/2006/main">
  <w:p>
    <w:pPr>
      <w:jc w:val="right"/>
      <w:spacing w:before="0" w:after="40"/>
    </w:pPr>
    <w:r>
      <w:rPr>
        <w:b/>
        <w:color w:val="18364A"/>
        <w:sz w:val="18"/>
      </w:rPr>
      <w:t>Doküman No: EKG-URT-PRS-07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8364A"/>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8364A"/>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836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80"/>
      <w:contextualSpacing/>
    </w:pPr>
    <w:rPr>
      <w:rFonts w:asciiTheme="majorHAnsi" w:eastAsiaTheme="majorEastAsia" w:hAnsiTheme="majorHAnsi" w:cstheme="majorBidi" w:ascii="Calibri" w:hAnsi="Calibri"/>
      <w:b/>
      <w:color w:val="1836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EKGKimlik" Type="http://schemas.openxmlformats.org/officeDocument/2006/relationships/header" Target="headerEKGKimlik.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Hızlı Müdahale ve Günlük Üretim Liderlik Toplantısı Prosedürü</dc:title>
  <dc:subject>EKG-URT-PRS-07</dc:subject>
  <dc:creator>Ekol Glass</dc:creator>
  <cp:keywords/>
  <dc:description/>
  <cp:lastModifiedBy>Ekol Glass</cp:lastModifiedBy>
  <cp:revision>1</cp:revision>
  <dcterms:created xsi:type="dcterms:W3CDTF">2026-05-08T09:00:00Z</dcterms:created>
  <dcterms:modified xsi:type="dcterms:W3CDTF">2026-10-19T09:00:00Z</dcterms:modified>
  <cp:category/>
</cp:coreProperties>
</file>