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nuBal"/>
      </w:pPr>
      <w:r>
        <w:rPr>
          <w:rFonts w:ascii="Calibri" w:hAnsi="Calibri"/>
        </w:rPr>
        <w:t>Cam ve Pencere Modülü Kalite Kabul Standardı - Taslak</w:t>
      </w:r>
    </w:p>
    <w:p>
      <w:pPr>
        <w:pStyle w:val="Balk1"/>
      </w:pPr>
      <w:r>
        <w:rPr>
          <w:rFonts w:ascii="Calibri" w:hAnsi="Calibri"/>
        </w:rPr>
        <w:t>1 Amaç ve kullanım</w:t>
      </w:r>
    </w:p>
    <w:p>
      <w:r>
        <w:rPr>
          <w:rFonts w:ascii="Calibri" w:hAnsi="Calibri"/>
        </w:rPr>
        <w:t>Cam, baskılı/ısıtmalı cam, çift cam ve çerçeveli pencere modüllerinin muayenesinde kullanılacak kabul dayanağını ve ürün kararını tanımlamak. Her ürün ailesi yalnız sözleşmesi, onaylı teknik resmi ve uygulanabilir mevzuatı kapsamında değerlendirilir.</w:t>
      </w:r>
    </w:p>
    <w:p>
      <w:r>
        <w:rPr>
          <w:rFonts w:ascii="Calibri" w:hAnsi="Calibri"/>
        </w:rPr>
        <w:t>Bu belge ürün bazlı teknik limit kaynağının yerine geçmez. Kaynağı ve revizyonu belirlenmeyen sayısal limit, kontrol sıklığı, görsel bölge veya kabul sayısı kullanılamaz.</w:t>
      </w:r>
    </w:p>
    <w:p>
      <w:pPr>
        <w:pStyle w:val="Balk1"/>
      </w:pPr>
      <w:r>
        <w:rPr>
          <w:rFonts w:ascii="Calibri" w:hAnsi="Calibri"/>
        </w:rPr>
        <w:t>2 Kabul şartının belirlenmesi</w:t>
      </w:r>
    </w:p>
    <w:p>
      <w:r>
        <w:rPr>
          <w:rFonts w:ascii="Calibri" w:hAnsi="Calibri"/>
        </w:rPr>
        <w:t>Kalite ve Proje Sorumluları zorunlu mevzuat/tip onayı, müşteri şartı, onaylı teknik resim ve ürün kontrol planını tutarlılık açısından karşılaştırır. Çelişkide sevkiyat durur; yetkili teknik/müşteri kararı alınır. Müşteri izni zorunlu mevzuat şartını ortadan kaldırmaz.</w:t>
      </w:r>
    </w:p>
    <w:p>
      <w:r>
        <w:rPr>
          <w:rFonts w:ascii="Calibri" w:hAnsi="Calibri"/>
        </w:rPr>
        <w:t>Araç emniyet camında ilgili UN/ECE R43 ürün sınıfı/eki ve onay kapsamı; yapı camında örneğin EN 12150 gibi uygulanabilir ürün standardı ayrı belirlenir. R43 ve yapı camı kırılma deneyleri birbirinin yerine kullanılmaz. Onay işaretindeki ülke/kod ve onay numarası gerçek tip onay belgesine uygun olmalıdır.</w:t>
      </w:r>
    </w:p>
    <w:p>
      <w:r>
        <w:rPr>
          <w:rFonts w:ascii="Calibri" w:hAnsi="Calibri"/>
        </w:rPr>
        <w:t>Genel tolerans sınıfı ancak teknik resim/sözleşmede uygulanabilir kılınmışsa kullanılır. EN 10204 metalik ürünler için belge tiplerini tanımlar; cam için kendiliğinden 3.1 uygunluk belgesi zorunluluğu veya dayanağı oluşturmaz.</w:t>
      </w:r>
    </w:p>
    <w:p>
      <w:pPr>
        <w:pStyle w:val="Balk1"/>
      </w:pPr>
      <w:r>
        <w:rPr>
          <w:rFonts w:ascii="Calibri" w:hAnsi="Calibri"/>
        </w:rPr>
        <w:t>3 Ürüne özgü kabul tablosu</w:t>
      </w:r>
    </w:p>
    <w:p>
      <w:r>
        <w:rPr>
          <w:rFonts w:ascii="Calibri" w:hAnsi="Calibri"/>
        </w:rPr>
        <w:t>Aşağıdaki her grup için gerçek limit/kriter, kaynak no/madde/revizyon, muayene yöntemi, cihaz/numune ve sıklık ilgili kontrol planında doldurulur. Uygulanmayan madde gerekçesiyle işaretlenir. Eksik kriter ürünün kendiliğinden kabul edildiği anlamına gelmez.</w:t>
      </w:r>
    </w:p>
    <w:tbl>
      <w:tblPr>
        <w:tblStyle w:val="TabloKlavuzu"/>
        <w:tblW w:type="auto" w:w="0"/>
        <w:tblLayout w:type="fixed"/>
        <w:tblLook w:firstColumn="1" w:firstRow="1" w:lastColumn="0" w:lastRow="0" w:noHBand="0" w:noVBand="1" w:val="04A0"/>
      </w:tblPr>
      <w:tblGrid>
        <w:gridCol w:w="2841"/>
        <w:gridCol w:w="7250"/>
      </w:tblGrid>
      <w:tr>
        <w:trPr>
          <w:tblHeader/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Kontrol grubu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Doğrulanacak özellik / yöntem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Yüzey / görünüş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Çizik, leke, batma, yabancı madde, merdane izi, optik bozulma; onaylı bölge/koşul/sınır numunesiyle karşılaştırma. Anizotropi müşteri görünüş şartından bağımsız otomatik kabul sayılmaz.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Baskı / işaretleme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Baskı konumu, sınırı, opaklık/renk, logo ve varsa homologasyon işareti; güncel resim ve referans numune.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Kenar / delik / geometri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Kenar işleme, çatlak/kırık, köşe, çap/konum, boyut, kalınlık, düzlük/büküm ve fikstüre uyum; kalibre cihaz ve onaylı metot.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Temper / emniyet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Uygulanabilir ürün mevzuatı ve onaylı deney metodu; kırma noktası, sayım bölgeleri, parça sayısı/şekli ve gerekli fotoğraflar.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Isıtmalı cam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Gerilim, akım/direnç/güç, süre/ortam, sıcaklık dağılımı ve konnektör dayanımı; yalnız onaylı elektriksel/fonksiyonel test planı.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Çift cam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Panel durumu, ünite kalınlığı/kaçıklık, ara çıta/sızdırmazlık ve nem/yoğuşma; ürün planındaki yöntem/şart.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Pencere modülü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Çerçeve/conta, bağlantı/yapıştırıcı, sürgü/kilit ve su sızdırmazlığı; resim ve doğrulanmış fonksiyon/test koşulları.</w:t>
            </w:r>
          </w:p>
        </w:tc>
      </w:tr>
      <w:tr>
        <w:trPr>
          <w:cantSplit/>
        </w:trPr>
        <w:tc>
          <w:tcPr>
            <w:tcW w:type="dxa" w:w="2841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Etiket / ambalaj</w:t>
            </w:r>
          </w:p>
        </w:tc>
        <w:tc>
          <w:tcPr>
            <w:tcW w:type="dxa" w:w="725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Parça/revizyon, lot/üretim kimliği, adet ve doğru koruma/ayırıcı; sevkiyat planıyla eşleşme.</w:t>
            </w:r>
          </w:p>
        </w:tc>
      </w:tr>
    </w:tbl>
    <w:p>
      <w:pPr>
        <w:pStyle w:val="Balk1"/>
      </w:pPr>
      <w:r>
        <w:rPr>
          <w:rFonts w:ascii="Calibri" w:hAnsi="Calibri"/>
        </w:rPr>
        <w:t>4 Muayene uygulaması</w:t>
      </w:r>
    </w:p>
    <w:p>
      <w:r>
        <w:rPr>
          <w:rFonts w:ascii="Calibri" w:hAnsi="Calibri"/>
        </w:rPr>
        <w:t>Yüzey temizliği, ürün konumu, görüş yönü/mesafesi, aydınlatma ve muayene süresi ilgili müşteri/ürün metodundan alınır. Cam kenarı veya yüzeyindeki kusur çıplak elle/tırnakla kontrol edilmez; uygun görsel/ölçü yöntemi ve koruyucu ekipman kullanılır.</w:t>
      </w:r>
    </w:p>
    <w:p>
      <w:r>
        <w:rPr>
          <w:rFonts w:ascii="Calibri" w:hAnsi="Calibri"/>
        </w:rPr>
        <w:t>Kontrol planındaki numune adedi, sıklık ve ilk parça/ayar/değişiklik tetikleyicileri uygulanır. Gerçek sonuç/birim, cihaz, numune, tarih/saat, parça/lot ve kontrolü yapan EKG-KLT-FRM-21/25 gibi kayda işlenir. Eksik veya geçersiz test uygun sonuç sayılmaz.</w:t>
      </w:r>
    </w:p>
    <w:p>
      <w:r>
        <w:rPr>
          <w:rFonts w:ascii="Calibri" w:hAnsi="Calibri"/>
        </w:rPr>
        <w:t>Çatlak, kırık, keskin kenar veya ürün güvenliği şüphesi olan parça uygun statüye geçirilmez; yetkili teknik değerlendirme için ayrılır. Kabul numunesi ve referans fotoğraf yalnız onaylı özellik/revizyon kapsamında kullanılır.</w:t>
      </w:r>
    </w:p>
    <w:p>
      <w:pPr>
        <w:pStyle w:val="Balk1"/>
      </w:pPr>
      <w:r>
        <w:rPr>
          <w:rFonts w:ascii="Calibri" w:hAnsi="Calibri"/>
        </w:rPr>
        <w:t>5 Uygunsuzluk ve serbest bırakma</w:t>
      </w:r>
    </w:p>
    <w:p>
      <w:r>
        <w:rPr>
          <w:rFonts w:ascii="Calibri" w:hAnsi="Calibri"/>
        </w:rPr>
        <w:t>Uygunsuz/şüpheli ürün tanımlanır ve fiziksel/sistemsel bloke edilir. Son güvenilir kontrolden itibaren kapsam ve müşteriye kaçış EKG-KLT-PRS-14 ile yönetilir.</w:t>
      </w:r>
    </w:p>
    <w:p>
      <w:r>
        <w:rPr>
          <w:rFonts w:ascii="Calibri" w:hAnsi="Calibri"/>
        </w:rPr>
        <w:t>Kalite yetkilisi kontrol tamlığını, gerçek sonuçları, lot kimliğini ve gereken müşteri/proje onaylarını inceleyerek serbest bırakma kararını verir. Şartlı kullanım yalnız kapsam/adet/süre içeren gerekli yazılı sapma izniyle mümkündür; mevzuat şartına aykırılık izinden bağımsız değerlendirilir.</w:t>
      </w:r>
    </w:p>
    <w:p>
      <w:r>
        <w:rPr>
          <w:rFonts w:ascii="Calibri" w:hAnsi="Calibri"/>
        </w:rPr>
        <w:t>Yeni veya değişen ürünün ilk numune/PPAP ve gereken müşteri onayı tamamlanmadan seri sevkiyat yapılmaz. Test tekrarı önceki başarısız kaydı silmez. Kayıtlar ürün/müşteri/mevzuata uygun kurum saklama planına göre korunur.</w:t>
      </w:r>
    </w:p>
    <w:sectPr w:rsidR="003D4758" w:rsidSect="00034616">
      <w:headerReference w:type="even" r:id="rId9"/>
      <w:headerReference w:type="default" r:id="rId10"/>
      <w:headerReference w:type="first" r:id="rId13"/>
      <w:footerReference w:type="even" r:id="rId11"/>
      <w:footerReference w:type="default" r:id="rId12"/>
      <w:footerReference w:type="first" r:id="rId14"/>
      <w:pgSz w:w="12240" w:h="15840"/>
      <w:pgMar w:top="1134" w:right="1134" w:bottom="1134" w:left="1134" w:header="720" w:footer="720" w:gutter="0"/>
      <w:pgBorders w:offsetFrom="page">
        <w:top w:val="single" w:sz="14" w:space="18" w:color="0B4F82"/>
        <w:left w:val="single" w:sz="14" w:space="18" w:color="0B4F82"/>
        <w:bottom w:val="single" w:sz="14" w:space="18" w:color="0B4F82"/>
        <w:right w:val="single" w:sz="14" w:space="18" w:color="0B4F8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F407" w14:textId="77777777" w:rsidR="00CA6093" w:rsidRDefault="00CA6093">
      <w:pPr>
        <w:spacing w:after="0" w:line="240" w:lineRule="auto"/>
      </w:pPr>
      <w:r>
        <w:separator/>
      </w:r>
    </w:p>
  </w:endnote>
  <w:endnote w:type="continuationSeparator" w:id="0">
    <w:p w14:paraId="4322823D" w14:textId="77777777" w:rsidR="00CA6093" w:rsidRDefault="00CA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9EBB" w14:textId="77777777" w:rsidR="00C01AF6" w:rsidRDefault="00C01AF6">
    <w:pPr>
      <w:pStyle w:val="AltBilgi"/>
    </w:pPr>
  </w:p>
  <w:p>
    <w:pPr>
      <w:spacing w:before="0" w:after="0"/>
    </w:pPr>
    <w:r>
      <w:rPr>
        <w:rFonts w:ascii="Arial" w:hAnsi="Arial"/>
        <w:sz w:val="20"/>
      </w:rPr>
      <w:t>Revizyon nedeni: Kaynaksız limitler kaldırıldı; ürüne özel kabul, muayene ve serbest bırakma kuralları düzenlendi.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Kaynaksız limitler kaldırıldı; ürüne özel kabul, muayene ve serbest bırakma kuralları düzenlendi.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AEE9" w14:textId="77777777" w:rsidR="00C01AF6" w:rsidRDefault="00C01AF6">
    <w:pPr>
      <w:pStyle w:val="AltBilgi"/>
    </w:pPr>
  </w:p>
  <w:p>
    <w:pPr>
      <w:spacing w:before="0" w:after="0"/>
    </w:pPr>
    <w:r>
      <w:rPr>
        <w:rFonts w:ascii="Arial" w:hAnsi="Arial"/>
        <w:sz w:val="20"/>
      </w:rPr>
      <w:t>Revizyon nedeni: Kaynaksız limitler kaldırıldı; ürüne özel kabul, muayene ve serbest bırakma kuralları düzenlendi.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B6B6A" w14:textId="77777777" w:rsidR="00CA6093" w:rsidRDefault="00CA6093">
      <w:pPr>
        <w:spacing w:after="0" w:line="240" w:lineRule="auto"/>
      </w:pPr>
      <w:r>
        <w:separator/>
      </w:r>
    </w:p>
  </w:footnote>
  <w:footnote w:type="continuationSeparator" w:id="0">
    <w:p w14:paraId="12A29C4F" w14:textId="77777777" w:rsidR="00CA6093" w:rsidRDefault="00CA6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  <w:spacing w:before="0" w:after="40"/>
    </w:pPr>
    <w:r>
      <w:rPr>
        <w:b/>
        <w:color w:val="18364A"/>
        <w:sz w:val="18"/>
      </w:rPr>
      <w:t>Doküman No: EKG-KLT-STD-06</w:t>
    </w:r>
  </w:p>
  <w:p w14:paraId="4047F53A" w14:textId="77777777" w:rsidR="00C01AF6" w:rsidRDefault="00C01AF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EKG-KLT-STD-06</w:t>
          </w:r>
          <w:r>
            <w:rPr>
              <w:rFonts w:ascii="Calibri" w:hAnsi="Calibri"/>
              <w:b w:val="0"/>
              <w:sz w:val="17"/>
            </w:rPr>
            <w:br/>
            <w:t>İlk yayın: 21.05.2026</w:t>
          </w:r>
          <w:r>
            <w:rPr>
              <w:rFonts w:ascii="Calibri" w:hAnsi="Calibri"/>
              <w:b w:val="0"/>
              <w:sz w:val="17"/>
            </w:rPr>
            <w:br/>
            <w:t>Revizyon tarihi: 20.08.2026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  <w:spacing w:before="0" w:after="40"/>
    </w:pPr>
    <w:r>
      <w:rPr>
        <w:b/>
        <w:color w:val="18364A"/>
        <w:sz w:val="18"/>
      </w:rPr>
      <w:t>Doküman No: EKG-KLT-STD-06</w:t>
    </w:r>
  </w:p>
  <w:p w14:paraId="5402A456" w14:textId="77777777" w:rsidR="00C01AF6" w:rsidRDefault="00C01AF6">
    <w:pPr>
      <w:pStyle w:val="stBilgi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EKG-KLT-STD-06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865FD"/>
    <w:multiLevelType w:val="hybridMultilevel"/>
    <w:tmpl w:val="DE46C046"/>
    <w:lvl w:ilvl="0" w:tplc="B9323E2E">
      <w:start w:val="1"/>
      <w:numFmt w:val="bullet"/>
      <w:lvlText w:val="•"/>
      <w:lvlJc w:val="left"/>
      <w:pPr>
        <w:ind w:left="720" w:hanging="360"/>
      </w:pPr>
    </w:lvl>
    <w:lvl w:ilvl="1" w:tplc="C75A4CA4">
      <w:numFmt w:val="decimal"/>
      <w:lvlText w:val=""/>
      <w:lvlJc w:val="left"/>
    </w:lvl>
    <w:lvl w:ilvl="2" w:tplc="9F8A15D2">
      <w:numFmt w:val="decimal"/>
      <w:lvlText w:val=""/>
      <w:lvlJc w:val="left"/>
    </w:lvl>
    <w:lvl w:ilvl="3" w:tplc="6E5E94E4">
      <w:numFmt w:val="decimal"/>
      <w:lvlText w:val=""/>
      <w:lvlJc w:val="left"/>
    </w:lvl>
    <w:lvl w:ilvl="4" w:tplc="6C7411A6">
      <w:numFmt w:val="decimal"/>
      <w:lvlText w:val=""/>
      <w:lvlJc w:val="left"/>
    </w:lvl>
    <w:lvl w:ilvl="5" w:tplc="56267216">
      <w:numFmt w:val="decimal"/>
      <w:lvlText w:val=""/>
      <w:lvlJc w:val="left"/>
    </w:lvl>
    <w:lvl w:ilvl="6" w:tplc="11681CCC">
      <w:numFmt w:val="decimal"/>
      <w:lvlText w:val=""/>
      <w:lvlJc w:val="left"/>
    </w:lvl>
    <w:lvl w:ilvl="7" w:tplc="16D44A54">
      <w:numFmt w:val="decimal"/>
      <w:lvlText w:val=""/>
      <w:lvlJc w:val="left"/>
    </w:lvl>
    <w:lvl w:ilvl="8" w:tplc="E0884F3E">
      <w:numFmt w:val="decimal"/>
      <w:lvlText w:val=""/>
      <w:lvlJc w:val="left"/>
    </w:lvl>
  </w:abstractNum>
  <w:num w:numId="1" w16cid:durableId="1531915079">
    <w:abstractNumId w:val="8"/>
  </w:num>
  <w:num w:numId="2" w16cid:durableId="1755468523">
    <w:abstractNumId w:val="6"/>
  </w:num>
  <w:num w:numId="3" w16cid:durableId="748422920">
    <w:abstractNumId w:val="5"/>
  </w:num>
  <w:num w:numId="4" w16cid:durableId="658922828">
    <w:abstractNumId w:val="4"/>
  </w:num>
  <w:num w:numId="5" w16cid:durableId="78337203">
    <w:abstractNumId w:val="7"/>
  </w:num>
  <w:num w:numId="6" w16cid:durableId="1574316856">
    <w:abstractNumId w:val="3"/>
  </w:num>
  <w:num w:numId="7" w16cid:durableId="834102606">
    <w:abstractNumId w:val="2"/>
  </w:num>
  <w:num w:numId="8" w16cid:durableId="910851847">
    <w:abstractNumId w:val="1"/>
  </w:num>
  <w:num w:numId="9" w16cid:durableId="369456706">
    <w:abstractNumId w:val="0"/>
  </w:num>
  <w:num w:numId="10" w16cid:durableId="118859348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AED"/>
    <w:rsid w:val="000E421F"/>
    <w:rsid w:val="0015074B"/>
    <w:rsid w:val="00161FA7"/>
    <w:rsid w:val="001C69C5"/>
    <w:rsid w:val="002279AF"/>
    <w:rsid w:val="00232F12"/>
    <w:rsid w:val="00260F33"/>
    <w:rsid w:val="002742F7"/>
    <w:rsid w:val="0029639D"/>
    <w:rsid w:val="002A7FF2"/>
    <w:rsid w:val="002E2C43"/>
    <w:rsid w:val="00326F90"/>
    <w:rsid w:val="003B306A"/>
    <w:rsid w:val="003D4758"/>
    <w:rsid w:val="00483DC9"/>
    <w:rsid w:val="004B3A4B"/>
    <w:rsid w:val="004F0159"/>
    <w:rsid w:val="00524CE8"/>
    <w:rsid w:val="00524D1F"/>
    <w:rsid w:val="00677201"/>
    <w:rsid w:val="006A42A9"/>
    <w:rsid w:val="006B1AF0"/>
    <w:rsid w:val="006C20B8"/>
    <w:rsid w:val="007415E1"/>
    <w:rsid w:val="00776BBA"/>
    <w:rsid w:val="007D064A"/>
    <w:rsid w:val="007F2E3B"/>
    <w:rsid w:val="008001DD"/>
    <w:rsid w:val="00850F09"/>
    <w:rsid w:val="008D6B0B"/>
    <w:rsid w:val="0092395C"/>
    <w:rsid w:val="009B721B"/>
    <w:rsid w:val="00A42C2E"/>
    <w:rsid w:val="00A81E0F"/>
    <w:rsid w:val="00AA1D8D"/>
    <w:rsid w:val="00AA5078"/>
    <w:rsid w:val="00B15702"/>
    <w:rsid w:val="00B47730"/>
    <w:rsid w:val="00B76080"/>
    <w:rsid w:val="00B910DE"/>
    <w:rsid w:val="00BF66F9"/>
    <w:rsid w:val="00C01AF6"/>
    <w:rsid w:val="00C0624A"/>
    <w:rsid w:val="00C20F3D"/>
    <w:rsid w:val="00CA6093"/>
    <w:rsid w:val="00CA6853"/>
    <w:rsid w:val="00CB0664"/>
    <w:rsid w:val="00DE774C"/>
    <w:rsid w:val="00E0305F"/>
    <w:rsid w:val="00E91192"/>
    <w:rsid w:val="00EB6B3D"/>
    <w:rsid w:val="00F55444"/>
    <w:rsid w:val="00FC693F"/>
    <w:rsid w:val="00FC7959"/>
    <w:rsid w:val="00FD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E9EB6E"/>
  <w14:defaultImageDpi w14:val="300"/>
  <w15:docId w15:val="{A4EB849E-1130-468E-8D24-E18A723E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eastAsia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A4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NormalWeb">
    <w:name w:val="Normal (Web)"/>
    <w:basedOn w:val="Normal"/>
    <w:uiPriority w:val="99"/>
    <w:semiHidden/>
    <w:unhideWhenUsed/>
    <w:rsid w:val="00A4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EKGKimlik" Type="http://schemas.openxmlformats.org/officeDocument/2006/relationships/header" Target="headerEKGKimlik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2124</Words>
  <Characters>12108</Characters>
  <Application>Microsoft Office Word</Application>
  <DocSecurity>0</DocSecurity>
  <Lines>100</Lines>
  <Paragraphs>28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CAM VE PENCERE MODÜLÜ KALİTE KABUL STANDARDI</vt:lpstr>
      <vt:lpstr/>
    </vt:vector>
  </TitlesOfParts>
  <Manager/>
  <Company/>
  <LinksUpToDate>false</LinksUpToDate>
  <CharactersWithSpaces>14204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 ve Pencere Modülü Kalite Kabul Standardı - Taslak</dc:title>
  <dc:subject>EKG-KLT-STD-06</dc:subject>
  <dc:creator>Ekol Glass</dc:creator>
  <cp:keywords/>
  <dc:description>generated by python-docx</dc:description>
  <cp:lastModifiedBy>Ekol Glass</cp:lastModifiedBy>
  <cp:revision>9</cp:revision>
  <cp:lastPrinted>2026-05-06T07:49:00Z</cp:lastPrinted>
  <dcterms:created xsi:type="dcterms:W3CDTF">2026-05-21T09:00:00Z</dcterms:created>
  <dcterms:modified xsi:type="dcterms:W3CDTF">2026-10-19T09:00:00Z</dcterms:modified>
  <cp:category/>
</cp:coreProperties>
</file>