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Ölçüm Sistemleri Analizi (MSA) Prosedürü</w:t>
      </w:r>
    </w:p>
    <w:p>
      <w:pPr>
        <w:pStyle w:val="Heading1"/>
      </w:pPr>
      <w:r>
        <w:rPr>
          <w:rFonts w:ascii="Calibri" w:hAnsi="Calibri"/>
        </w:rPr>
        <w:t>1 Amaç ve kapsam</w:t>
      </w:r>
    </w:p>
    <w:p>
      <w:r>
        <w:rPr>
          <w:rFonts w:ascii="Calibri" w:hAnsi="Calibri"/>
        </w:rPr>
        <w:t>Ürün/proses kararında kullanılan ölçüm sisteminin amaca uygunluğunu doğrulamak. Kalibrasyon ile MSA farklı çalışmalardır; biri diğerinin yerine geçmez. Boyutsal cihaz/fikstürler ile görünüş, renk ve diğer nitel kararlar kapsamdadır.</w:t>
      </w:r>
    </w:p>
    <w:p>
      <w:pPr>
        <w:pStyle w:val="Heading1"/>
      </w:pPr>
      <w:r>
        <w:rPr>
          <w:rFonts w:ascii="Calibri" w:hAnsi="Calibri"/>
        </w:rPr>
        <w:t>2 Plan ve sorumluluk</w:t>
      </w:r>
    </w:p>
    <w:p>
      <w:r>
        <w:rPr>
          <w:rFonts w:ascii="Calibri" w:hAnsi="Calibri"/>
        </w:rPr>
        <w:t>Kalite Yöneticisi çalışma planını, kullanılacak güncel müşteri metodunu, kabul kriterini ve yetkili kullanım kararını onaylar. Metroloji/Laboratuvar Sorumlusu cihaz/metot koşullarını, ham veriyi ve analizi yönetir. Üretim/Proje gerçek proses parçalarını ve fiilen ölçen operatörleri sağlar.</w:t>
      </w:r>
    </w:p>
    <w:p>
      <w:r>
        <w:rPr>
          <w:rFonts w:ascii="Calibri" w:hAnsi="Calibri"/>
        </w:rPr>
        <w:t>Plan; parça/revizyon, karakteristik ve tolerans kaynağı, cihaz/fikstür/yazılım, çözünürlük, ortam, operatör, parça/tekrar sayısı, sıra ve referans değerleri tanımlar. Gereken müşteri yöntemi ve kabul kaynağı numara/revizyonla yazılır; sayılar veya eşikler varsayılmaz.</w:t>
      </w:r>
    </w:p>
    <w:p>
      <w:pPr>
        <w:pStyle w:val="Heading1"/>
      </w:pPr>
      <w:r>
        <w:rPr>
          <w:rFonts w:ascii="Calibri" w:hAnsi="Calibri"/>
        </w:rPr>
        <w:t>3 Nicel sistemler</w:t>
      </w:r>
    </w:p>
    <w:p>
      <w:r>
        <w:rPr>
          <w:rFonts w:ascii="Calibri" w:hAnsi="Calibri"/>
        </w:rPr>
        <w:t>Çapraz veya gerekli diğer çalışma tasarımı gerçek ölçüm prosesine uygun seçilir. Parçalar üretim varyasyonunu temsil eder; kodlanır ve tekrar sırası önceki sonuçlardan bağımsızlaştırılır. Ham sonuçlar değiştirilmeden saklanır.</w:t>
      </w:r>
    </w:p>
    <w:p>
      <w:r>
        <w:rPr>
          <w:rFonts w:ascii="Calibri" w:hAnsi="Calibri"/>
        </w:rPr>
        <w:t>Müşteri şartına ve kullanım riskine göre tekrarlanabilirlik/yeniden üretilebilirlik, bias, doğrusallık ve kararlılık değerlendirilir. ANOVA gerekiyorsa ortalama–menzil hesabı onun yerine kullanılamaz; etkileşim ve dağılım varsayımları değerlendirilir.</w:t>
      </w:r>
    </w:p>
    <w:p>
      <w:r>
        <w:rPr>
          <w:rFonts w:ascii="Calibri" w:hAnsi="Calibri"/>
        </w:rPr>
        <w:t>%GRR çalışma varyasyonu, varyans katkısı ve toleransa oran farklı ölçülerdir; kullanılan payda ve yayılım katsayısı belirtilir. Çalışma tasarımı, istatistik yöntemi ve hesap yazılımı/sürümü raporda görünür olur. Ölçüm belirsizliği gerekçesiyle MSA muafiyeti yalnız geçerli şart ve gerekli yazılı onayla verilebilir.</w:t>
      </w:r>
    </w:p>
    <w:p>
      <w:pPr>
        <w:pStyle w:val="Heading1"/>
      </w:pPr>
      <w:r>
        <w:rPr>
          <w:rFonts w:ascii="Calibri" w:hAnsi="Calibri"/>
        </w:rPr>
        <w:t>4 Nitel sistemler</w:t>
      </w:r>
    </w:p>
    <w:p>
      <w:r>
        <w:rPr>
          <w:rFonts w:ascii="Calibri" w:hAnsi="Calibri"/>
        </w:rPr>
        <w:t>Onaylı kabul/ret referansları ve sınır numuneleriyle gerçek operatörler tekrarlı, körleştirilmiş çalışmaya katılır. Operatör içi tekrar, operatörler arası uyum, referansla uyum ve yanlış kabul/ret riski değerlendirilir.</w:t>
      </w:r>
    </w:p>
    <w:p>
      <w:r>
        <w:rPr>
          <w:rFonts w:ascii="Calibri" w:hAnsi="Calibri"/>
        </w:rPr>
        <w:t>Kappa gibi istatistikler referans sınıf dağılımı ve numune kapsamıyla birlikte yorumlanır. Numune/tekrar sayısı ve eşikler onaylı çalışma/müşteri planından alınır; yüksek genel uyum tek başına düşük yanlış kabul riskini kanıtlamaz.</w:t>
      </w:r>
    </w:p>
    <w:p>
      <w:pPr>
        <w:pStyle w:val="Heading1"/>
      </w:pPr>
      <w:r>
        <w:rPr>
          <w:rFonts w:ascii="Calibri" w:hAnsi="Calibri"/>
        </w:rPr>
        <w:t>5 Kullanım ve uygunsuzluk kararı</w:t>
      </w:r>
    </w:p>
    <w:p>
      <w:r>
        <w:rPr>
          <w:rFonts w:ascii="Calibri" w:hAnsi="Calibri"/>
        </w:rPr>
        <w:t>Kalite Yöneticisi sonuçları kayıtlı kritere göre değerlendirir; gereken müşteri onayını alır. Şartlı kullanım varsa kapsam/süre, ek kontrol, risk ve onay yazılıdır. Analiz dosyasındaki formül veya uygun yazısı yetkili onay yerine geçmez.</w:t>
      </w:r>
    </w:p>
    <w:p>
      <w:r>
        <w:rPr>
          <w:rFonts w:ascii="Calibri" w:hAnsi="Calibri"/>
        </w:rPr>
        <w:t>Yetersiz/şüpheli sistemin kullanımı durdurulur veya onaylı kısıt uygulanır. Son güvenilir ölçümden itibaren ürün etkisi EKG-KLT-FRM-26 ile değerlendirilir. Alternatif yeterli sistem, fikstür/metot/ortam veya eğitim düzeltmesi sonrası çalışma tekrarlanır.</w:t>
      </w:r>
    </w:p>
    <w:p>
      <w:pPr>
        <w:pStyle w:val="Heading1"/>
      </w:pPr>
      <w:r>
        <w:rPr>
          <w:rFonts w:ascii="Calibri" w:hAnsi="Calibri"/>
        </w:rPr>
        <w:t>6 Sürdürme ve kayıt</w:t>
      </w:r>
    </w:p>
    <w:p>
      <w:r>
        <w:rPr>
          <w:rFonts w:ascii="Calibri" w:hAnsi="Calibri"/>
        </w:rPr>
        <w:t>Yeni ölçüm sistemi/karakteristik, önemli bakım, fikstür/yazılım/metot veya operatör değişikliği ve güvenilirlik şüphesinde yeniden çalışma ihtiyacı değerlendirilir. Periyot ve tetikleyiciler risk ve müşteri şartına bağlanır.</w:t>
      </w:r>
    </w:p>
    <w:p>
      <w:r>
        <w:rPr>
          <w:rFonts w:ascii="Calibri" w:hAnsi="Calibri"/>
        </w:rPr>
        <w:t>Plan, ham veriler, hesap/rapor, referans numune bilgisi, kabul dayanağı, yetkili/müşteri kararı ve iyileştirme kanıtları ürün/cihaz kimliğiyle saklanır. EKG-KLT-FRM-29 yalnız içindeki tasarım ve metot geçerliyse kullanılır.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MSA yöntem ve karar kriteri müşteri/karakteristik kaynağına bağlandı; otomatik muafiyet kaldırıldı.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EKG-KLT-PRS-02</w:t>
          </w:r>
          <w:r>
            <w:rPr>
              <w:rFonts w:ascii="Calibri" w:hAnsi="Calibri"/>
              <w:b w:val="0"/>
              <w:sz w:val="17"/>
            </w:rPr>
            <w:br/>
            <w:t>İlk yayın: 08.05.2026</w:t>
          </w:r>
          <w:r>
            <w:rPr>
              <w:rFonts w:ascii="Calibri" w:hAnsi="Calibri"/>
              <w:b w:val="0"/>
              <w:sz w:val="17"/>
            </w:rPr>
            <w:br/>
            <w:t>Revizyon tarihi: 07.08.2026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Ölçüm Sistemleri Analizi (MSA) Prosedürü</dc:title>
  <dc:subject>EKG-KLT-PRS-02</dc:subject>
  <dc:creator>Ekol Glass</dc:creator>
  <cp:keywords/>
  <dc:description/>
  <cp:lastModifiedBy>Ekol Glass</cp:lastModifiedBy>
  <cp:revision>1</cp:revision>
  <dcterms:created xsi:type="dcterms:W3CDTF">2026-05-08T09:00:00Z</dcterms:created>
  <dcterms:modified xsi:type="dcterms:W3CDTF">2026-10-19T09:00:00Z</dcterms:modified>
  <cp:category/>
</cp:coreProperties>
</file>