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PFMEA Puanlama ve Stellantis Aksiyon Önceliği Kılavuzu</w:t>
      </w:r>
    </w:p>
    <w:p>
      <w:pPr>
        <w:pStyle w:val="Heading1"/>
      </w:pPr>
      <w:r>
        <w:rPr>
          <w:rFonts w:ascii="Calibri" w:hAnsi="Calibri"/>
        </w:rPr>
        <w:t>PFMEA Puanlama ve Aksiyon Önceliği Kılavuzu</w:t>
      </w:r>
    </w:p>
    <w:p>
      <w:r>
        <w:rPr>
          <w:rFonts w:ascii="Calibri" w:hAnsi="Calibri"/>
        </w:rPr>
        <w:t>Proses riskinin aynı yöntemle değerlendirilmesi için kullanılır. AIAG ve VDA kuruluşlarının harmonize FMEA metodolojisi esas alınır. Müşteri ek şartlarının uygulanabilirliği proje ve güncel kontrollü kaynak üzerinden doğrulanır.</w:t>
      </w:r>
    </w:p>
    <w:p>
      <w:pPr>
        <w:pStyle w:val="Heading1"/>
      </w:pPr>
      <w:r>
        <w:rPr>
          <w:rFonts w:ascii="Calibri" w:hAnsi="Calibri"/>
        </w:rPr>
        <w:t>1. Kullanılacak kaynak</w:t>
      </w:r>
    </w:p>
    <w:p>
      <w:r>
        <w:rPr>
          <w:rFonts w:ascii="Calibri" w:hAnsi="Calibri"/>
        </w:rPr>
        <w:t>PFMEA ekibi; el kitabı/yöntem sürümünü, S/O/D tablolarını, tam AP tablosunu ve varsa müşteri ek kuralının doküman no-madde-revizyonunu analiz başlığında belirtir. Kontrolsüz özet tablo, eski proje veya bu kılavuzdaki açıklama puanlama kaynağının yerine geçmez.</w:t>
      </w:r>
    </w:p>
    <w:p>
      <w:pPr>
        <w:pStyle w:val="Heading1"/>
      </w:pPr>
      <w:r>
        <w:rPr>
          <w:rFonts w:ascii="Calibri" w:hAnsi="Calibri"/>
        </w:rPr>
        <w:t>2. S, O ve D değerlendirmesi</w:t>
      </w:r>
    </w:p>
    <w:p>
      <w:r>
        <w:rPr>
          <w:rFonts w:ascii="Calibri" w:hAnsi="Calibri"/>
        </w:rPr>
        <w:t>Şiddet S, hata etkisinin araç/kullanıcı, müşteri ve sonraki proses sonuçları üzerinden değerlendirilir. Güvenlik ve mevzuat etkileri açıkça yazılır; puan geçerli tablodan alınır.</w:t>
      </w:r>
    </w:p>
    <w:p>
      <w:r>
        <w:rPr>
          <w:rFonts w:ascii="Calibri" w:hAnsi="Calibri"/>
        </w:rPr>
        <w:t>Olasılık O, belirli hata nedeninin ortaya çıkışı ve mevcut önleyici kontrollerin etkinliğiyle değerlendirilir. Saptama D, mevcut kontrolün ilgili hata/nedeni tanımlanan noktada yakalama gücüdür; düşük puan yalnız doğrulanmış kontrol kanıtıyla gerekçelendirilir.</w:t>
      </w:r>
    </w:p>
    <w:p>
      <w:r>
        <w:rPr>
          <w:rFonts w:ascii="Calibri" w:hAnsi="Calibri"/>
        </w:rPr>
        <w:t>Yeni kontrolün kurulması otomatik puan düşüşü sağlamaz. Şiddet, hata etkisi değişmeden düşürülmez. Eğitim ve sık kontrol, hata etkisini tek başına değiştirmez.</w:t>
      </w:r>
    </w:p>
    <w:p>
      <w:pPr>
        <w:pStyle w:val="Heading1"/>
      </w:pPr>
      <w:r>
        <w:rPr>
          <w:rFonts w:ascii="Calibri" w:hAnsi="Calibri"/>
        </w:rPr>
        <w:t>3. AP ve RPN</w:t>
      </w:r>
    </w:p>
    <w:p>
      <w:r>
        <w:rPr>
          <w:rFonts w:ascii="Calibri" w:hAnsi="Calibri"/>
        </w:rPr>
        <w:t>AP; S/O/D birleşimi için geçerli tam tablodan belirlenen H/M/L aksiyon önceliğidir. RPN=S×O×D çarpımından veya genel eşik değerinden AP türetilmez. Kullanılıyorsa RPN yalnız ek izleme bilgisi olarak tutulur.</w:t>
      </w:r>
    </w:p>
    <w:p>
      <w:r>
        <w:rPr>
          <w:rFonts w:ascii="Calibri" w:hAnsi="Calibri"/>
        </w:rPr>
        <w:t>H için önleme/saptama iyileştirmesi veya mevcut kontrolün yeterliliğine ilişkin yöntemce gereken belgeli gerekçe oluşturulur. M için önleme/saptama iyileştirmesi değerlendirilir ve karar gerekçelendirilir. L için iyileştirme değerlendirilebilir; L tek başına ürünün uygunluğunu veya sevkiyat onayını kanıtlamaz. Geçerli müşteri şartı daha sıkıysa kaynak maddesiyle uygulanır.</w:t>
      </w:r>
    </w:p>
    <w:p>
      <w:pPr>
        <w:pStyle w:val="Heading1"/>
      </w:pPr>
      <w:r>
        <w:rPr>
          <w:rFonts w:ascii="Calibri" w:hAnsi="Calibri"/>
        </w:rPr>
        <w:t>4. Aksiyon ve yeniden değerlendirme</w:t>
      </w:r>
    </w:p>
    <w:p>
      <w:r>
        <w:rPr>
          <w:rFonts w:ascii="Calibri" w:hAnsi="Calibri"/>
        </w:rPr>
        <w:t>Her aksiyonda sorumlu, termin ve hedef belirlenir; tamamlanınca test/uygulama kanıtı kaydedilir. Başlangıç, hedef ve doğrulanmış sonuç puanları ayrılır. Sonuç puanı gerçekleşen etkinlik kanıtından sonra yeniden belirlenir. Başarısız kontrol durumunda ürün koruması ve gerekli yeniden değerlendirme yapılır.</w:t>
      </w:r>
    </w:p>
    <w:p>
      <w:pPr>
        <w:pStyle w:val="Heading1"/>
      </w:pPr>
      <w:r>
        <w:rPr>
          <w:rFonts w:ascii="Calibri" w:hAnsi="Calibri"/>
        </w:rPr>
        <w:t>5. Sentez ve karar</w:t>
      </w:r>
    </w:p>
    <w:p>
      <w:r>
        <w:rPr>
          <w:rFonts w:ascii="Calibri" w:hAnsi="Calibri"/>
        </w:rPr>
        <w:t>Yüksek etkili ve öncelikli riskler EKG-PRJ-FRM-32 ile özetlenir; aksiyonlar EKG-PRJ-LST-07 üzerinden izlenir. Artık risk kararında kapsam, gerekçe, yetkili ve tarih kaydedilir. Müşteri eskalasyonu/özel onay gerekiyorsa geçerli şarttan doğrulanır ve resmi referans eklenir. İç risk kabulü müşteri PPAP onayının veya yasal uygunluğun yerine geçmez.</w:t>
      </w:r>
    </w:p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Yanlış FMEA açıklaması ve kaynaksız AP tablosu kaldırıldı; puanlama kontrollü kaynağa bağlandı.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EKG-PRJ-KLV-02</w:t>
          </w:r>
          <w:r>
            <w:rPr>
              <w:rFonts w:ascii="Calibri" w:hAnsi="Calibri"/>
              <w:b w:val="0"/>
              <w:sz w:val="17"/>
            </w:rPr>
            <w:br/>
            <w:t>İlk yayın: 27.05.2026</w:t>
          </w:r>
          <w:r>
            <w:rPr>
              <w:rFonts w:ascii="Calibri" w:hAnsi="Calibri"/>
              <w:b w:val="0"/>
              <w:sz w:val="17"/>
            </w:rPr>
            <w:br/>
            <w:t>Revizyon tarihi: 26.08.2026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EKG-PRJ-KLV-02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after="10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EKGKimlik" Type="http://schemas.openxmlformats.org/officeDocument/2006/relationships/header" Target="headerEKGKimlik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PFMEA Puanlama ve Stellantis Aksiyon Önceliği Kılavuzu</dc:title>
  <dc:subject>EKG-PRJ-KLV-02</dc:subject>
  <dc:creator>Ekol Glass</dc:creator>
  <cp:keywords/>
  <dc:description>generated by python-docx</dc:description>
  <cp:lastModifiedBy>Ekol Glass</cp:lastModifiedBy>
  <cp:revision>1</cp:revision>
  <dcterms:created xsi:type="dcterms:W3CDTF">2026-05-27T09:00:00Z</dcterms:created>
  <dcterms:modified xsi:type="dcterms:W3CDTF">2026-10-19T09:00:00Z</dcterms:modified>
  <cp:category/>
</cp:coreProperties>
</file>