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EKGKimli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Değişiklik Yönetimi Prosedürü ve Risk Matrisi - Word Düzeni</w:t>
      </w:r>
    </w:p>
    <w:p>
      <w:pPr>
        <w:pStyle w:val="Heading1"/>
      </w:pPr>
      <w:r>
        <w:rPr>
          <w:rFonts w:ascii="Calibri" w:hAnsi="Calibri"/>
        </w:rPr>
        <w:t>Değişiklik Yönetimi Prosedürü</w:t>
      </w:r>
    </w:p>
    <w:p>
      <w:r>
        <w:rPr>
          <w:rFonts w:ascii="Calibri" w:hAnsi="Calibri"/>
        </w:rPr>
        <w:t>Ürün, proses, malzeme, tedarikçi, ekipman, tesis, yazılım/reçete ve izlenebilirlik değişikliklerini kapsar. Talep, değerlendirme, uygulama ve kapanış aynı değişiklik numarasına bağlanır.</w:t>
      </w:r>
    </w:p>
    <w:p>
      <w:pPr>
        <w:pStyle w:val="Heading1"/>
      </w:pPr>
      <w:r>
        <w:rPr>
          <w:rFonts w:ascii="Calibri" w:hAnsi="Calibri"/>
        </w:rPr>
        <w:t>1. Talep ve etki</w:t>
      </w:r>
    </w:p>
    <w:p>
      <w:r>
        <w:rPr>
          <w:rFonts w:ascii="Calibri" w:hAnsi="Calibri"/>
        </w:rPr>
        <w:t>Talep eden; gerekçeyi, etkilenen parça/proses ve eski-yeni revizyonları EKG-PRJ-FRM-27 veya EKG-PRJ-FRM-28 ile kaydeder. Kalite, Proses, Üretim ve etkilenen disiplinler güvenlik/mevzuat, karakteristik, DFMEA/PFMEA, PIS/kontrol planı, test, MSA/yeterlilik, kapasite, tedarikçi, stok ve sevk edilmiş ürün etkisini değerlendirir. Kayıt EKG-PRJ-LST-06 üzerinde izlenir.</w:t>
      </w:r>
    </w:p>
    <w:p>
      <w:pPr>
        <w:pStyle w:val="Heading1"/>
      </w:pPr>
      <w:r>
        <w:rPr>
          <w:rFonts w:ascii="Calibri" w:hAnsi="Calibri"/>
        </w:rPr>
        <w:t>2. Onay ve uygulama planı</w:t>
      </w:r>
    </w:p>
    <w:p>
      <w:r>
        <w:rPr>
          <w:rFonts w:ascii="Calibri" w:hAnsi="Calibri"/>
        </w:rPr>
        <w:t>Kalite, güncel müşteri şartına göre bildirim, yeniden PPAP veya sapma izni gereğini ve resmi kaynak maddesini belirler. Gerekli müşteri kararının kapsamı, miktarı ve süresi doğrulanır. İç ekip kararı müşteri onayının yerine geçmez. Uygulamadan önce test kriteri, sorumlu, geçiş lotu, stok kararı, kontrol planı/talimat revizyonu ve eğitim tanımlanır.</w:t>
      </w:r>
    </w:p>
    <w:p>
      <w:pPr>
        <w:pStyle w:val="Heading1"/>
      </w:pPr>
      <w:r>
        <w:rPr>
          <w:rFonts w:ascii="Calibri" w:hAnsi="Calibri"/>
        </w:rPr>
        <w:t>3. Acil ve geçici değişiklik</w:t>
      </w:r>
    </w:p>
    <w:p>
      <w:r>
        <w:rPr>
          <w:rFonts w:ascii="Calibri" w:hAnsi="Calibri"/>
        </w:rPr>
        <w:t>Uygunluk doğrulanamıyorsa proses durdurulur ve riskli ürün ayrılır. Geçici yöntemin riski, doğrulanmış kontrolü, yetkili iç onayı, başlangıcı, süre/miktar sonu ve gerekli müşteri izni tanımlanır. İşletme içi acil karar, gerekli müşteri onayını veya güvenlik korumasını kaldırmaz. Bildirim zamanı uygulanabilir müşteri şartı ve acil durum planına göre belirlenir. Geçici proses EKG-PRJ-FRM-29 ile takip edilir.</w:t>
      </w:r>
    </w:p>
    <w:p>
      <w:pPr>
        <w:pStyle w:val="Heading1"/>
      </w:pPr>
      <w:r>
        <w:rPr>
          <w:rFonts w:ascii="Calibri" w:hAnsi="Calibri"/>
        </w:rPr>
        <w:t>4. Doğrulama, geçiş ve kapanış</w:t>
      </w:r>
    </w:p>
    <w:p>
      <w:r>
        <w:rPr>
          <w:rFonts w:ascii="Calibri" w:hAnsi="Calibri"/>
        </w:rPr>
        <w:t>Deneme EKG-PRJ-FRM-33, değişiklik sonrası doğrulama EKG-PRJ-FRM-26 ile kayıt altına alınır. Yalnız etkilenen testler teknik gerekçeyle seçilir; kullanılan seri koşullar ve farkları yazılır. Eski son ve yeni ilk lot, geçiş zamanı, stok/WIP kararı ve dağıtım/eğitim kayıtları korunur. Sahada kontrol etkinliği onaylı güvenli planla doğrulanır. Aksiyonlar kanıtla kapatılır; PFMEA ve bağlı dokümanlar güncellenir. Gerekli onaylar tamamlanmadan seri sevkiyat açılmaz.</w:t>
      </w:r>
    </w:p>
    <w:sectPr w:rsidR="00FC693F" w:rsidRPr="0006063C" w:rsidSect="00034616">
      <w:headerReference w:type="even" r:id="rIdEKGKimlik"/>
      <w:headerReference w:type="first" r:id="rIdEKGKimlik"/>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 xml:space="preserve">Sayfa </w:t>
    </w:r>
    <w:fldSimple w:instr="PAGE"/>
    <w:r>
      <w:t xml:space="preserve"> / </w:t>
    </w:r>
    <w:fldSimple w:instr="NUMPAGES"/>
  </w:p>
  <w:p>
    <w:pPr>
      <w:spacing w:before="0" w:after="0"/>
    </w:pPr>
    <w:r>
      <w:rPr>
        <w:rFonts w:ascii="Arial" w:hAnsi="Arial"/>
        <w:sz w:val="20"/>
      </w:rPr>
      <w:t>Revizyon nedeni: Acil değişiklikte onay atlama kaldırıldı; planlı/geçici değişiklik kanıtlı uygulama ve kapanışla yönetildi.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628"/>
      <w:gridCol w:w="6463"/>
    </w:tblGrid>
    <w:tr>
      <w:tc>
        <w:tcPr>
          <w:tcW w:type="dxa" w:w="5046"/>
        </w:tcPr>
        <w:p>
          <w:pPr>
            <w:spacing w:after="0"/>
          </w:pPr>
          <w:r>
            <w:drawing>
              <wp:inline xmlns:a="http://schemas.openxmlformats.org/drawingml/2006/main" xmlns:pic="http://schemas.openxmlformats.org/drawingml/2006/picture">
                <wp:extent cx="1296000" cy="448200"/>
                <wp:docPr id="1" name="Picture 1"/>
                <wp:cNvGraphicFramePr>
                  <a:graphicFrameLocks noChangeAspect="1"/>
                </wp:cNvGraphicFramePr>
                <a:graphic>
                  <a:graphicData uri="http://schemas.openxmlformats.org/drawingml/2006/picture">
                    <pic:pic>
                      <pic:nvPicPr>
                        <pic:cNvPr id="0" name="logo.png"/>
                        <pic:cNvPicPr/>
                      </pic:nvPicPr>
                      <pic:blipFill>
                        <a:blip r:embed="rId2"/>
                        <a:stretch>
                          <a:fillRect/>
                        </a:stretch>
                      </pic:blipFill>
                      <pic:spPr>
                        <a:xfrm>
                          <a:off x="0" y="0"/>
                          <a:ext cx="1296000" cy="448200"/>
                        </a:xfrm>
                        <a:prstGeom prst="rect"/>
                      </pic:spPr>
                    </pic:pic>
                  </a:graphicData>
                </a:graphic>
              </wp:inline>
            </w:drawing>
          </w:r>
        </w:p>
      </w:tc>
      <w:tc>
        <w:tcPr>
          <w:tcW w:type="dxa" w:w="5046"/>
        </w:tcPr>
        <w:p>
          <w:pPr>
            <w:spacing w:after="0"/>
            <w:jc w:val="right"/>
          </w:pPr>
          <w:r>
            <w:rPr>
              <w:rFonts w:ascii="Calibri" w:hAnsi="Calibri"/>
              <w:b/>
              <w:sz w:val="17"/>
            </w:rPr>
            <w:t>EKG-PRJ-PRS-08</w:t>
          </w:r>
          <w:r>
            <w:rPr>
              <w:rFonts w:ascii="Calibri" w:hAnsi="Calibri"/>
              <w:b w:val="0"/>
              <w:sz w:val="17"/>
            </w:rPr>
            <w:br/>
            <w:t>İlk yayın: 12.05.2026</w:t>
          </w:r>
          <w:r>
            <w:rPr>
              <w:rFonts w:ascii="Calibri" w:hAnsi="Calibri"/>
              <w:b w:val="0"/>
              <w:sz w:val="17"/>
            </w:rPr>
            <w:br/>
            <w:t>Revizyon tarihi: 11.08.2026</w:t>
          </w:r>
        </w:p>
      </w:tc>
    </w:tr>
  </w:tbl>
  <w:p>
    <w:pPr>
      <w:spacing w:after="0"/>
    </w:pPr>
  </w:p>
</w:hdr>
</file>

<file path=word/headerEKGKimlik.xml><?xml version="1.0" encoding="utf-8"?>
<w:hdr xmlns:w="http://schemas.openxmlformats.org/wordprocessingml/2006/main">
  <w:p>
    <w:pPr>
      <w:jc w:val="right"/>
      <w:spacing w:before="0" w:after="40"/>
    </w:pPr>
    <w:r>
      <w:rPr>
        <w:b/>
        <w:color w:val="18364A"/>
        <w:sz w:val="18"/>
      </w:rPr>
      <w:t>Doküman No: EKG-PRJ-PRS-08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8364A"/>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8364A"/>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836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Calibri" w:hAnsi="Calibri"/>
      <w:b/>
      <w:color w:val="1836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EKGKimlik" Type="http://schemas.openxmlformats.org/officeDocument/2006/relationships/header" Target="headerEKGKimlik.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Değişiklik Yönetimi Prosedürü ve Risk Matrisi - Word Düzeni</dc:title>
  <dc:subject>EKG-PRJ-PRS-08</dc:subject>
  <dc:creator>Ekol Glass</dc:creator>
  <cp:keywords/>
  <dc:description>generated by python-docx</dc:description>
  <cp:lastModifiedBy>Ekol Glass</cp:lastModifiedBy>
  <cp:revision>1</cp:revision>
  <dcterms:created xsi:type="dcterms:W3CDTF">2026-05-12T09:00:00Z</dcterms:created>
  <dcterms:modified xsi:type="dcterms:W3CDTF">2026-10-19T09:00:00Z</dcterms:modified>
  <cp:category/>
</cp:coreProperties>
</file>