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Üretim Planlama Prosedürü</w:t>
      </w:r>
    </w:p>
    <w:p>
      <w:pPr>
        <w:pStyle w:val="Heading1"/>
      </w:pPr>
      <w:r>
        <w:rPr>
          <w:rFonts w:ascii="Calibri" w:hAnsi="Calibri"/>
        </w:rPr>
        <w:t>1. Amaç, kapsam ve sorumluluk</w:t>
      </w:r>
    </w:p>
    <w:p>
      <w:r>
        <w:rPr>
          <w:rFonts w:ascii="Calibri" w:hAnsi="Calibri"/>
        </w:rPr>
        <w:t>Müşteri talebini doğrulanmış kapasite ve malzemeyle zamanında karşılamak için satış/operasyon, ana üretim ve günlük/vardiya planlarını yönetir. Planlama planı ve sürümünü; satış/lojistik geçerli talebi; üretim/bakım kaynak durumunu; kalite kullanılabilirlik ve gerekli ürün kontrollerini doğrular.</w:t>
      </w:r>
    </w:p>
    <w:p>
      <w:pPr>
        <w:pStyle w:val="Heading1"/>
      </w:pPr>
      <w:r>
        <w:rPr>
          <w:rFonts w:ascii="Calibri" w:hAnsi="Calibri"/>
        </w:rPr>
        <w:t>2. Talep ve kaynak doğrulama</w:t>
      </w:r>
    </w:p>
    <w:p>
      <w:r>
        <w:rPr>
          <w:rFonts w:ascii="Calibri" w:hAnsi="Calibri"/>
        </w:rPr>
        <w:t>Tahmin, kesin sipariş ve EDI çağrısı ayrılır; aynı talep mükerrer sayılmaz. Son geçerli müşteri revizyonu, parça, teslim yeri, miktar ve termin kontrol edilir.</w:t>
      </w:r>
    </w:p>
    <w:p>
      <w:r>
        <w:rPr>
          <w:rFonts w:ascii="Calibri" w:hAnsi="Calibri"/>
        </w:rPr>
        <w:t>Kullanılabilir stok ve devam eden iş; kalite blokajı, raf ömrü, malzeme temin süresi, takım uygunluğu, personel yetkinliği ve planlı bakım dikkate alınır. Kapasite aynı zaman birimi ve gerçek çalışma takvimiyle hesaplanır; teorik kapasite kullanılabilir kapasite yerine alınmaz.</w:t>
      </w:r>
    </w:p>
    <w:p>
      <w:pPr>
        <w:pStyle w:val="Heading1"/>
      </w:pPr>
      <w:r>
        <w:rPr>
          <w:rFonts w:ascii="Calibri" w:hAnsi="Calibri"/>
        </w:rPr>
        <w:t>3. Planlama akışı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7"/>
        <w:gridCol w:w="5351"/>
        <w:gridCol w:w="2513"/>
      </w:tblGrid>
      <w:tr>
        <w:trPr>
          <w:tblHeader/>
          <w:cantSplit/>
        </w:trPr>
        <w:tc>
          <w:tcPr>
            <w:tcW w:type="dxa" w:w="2227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Aşama</w:t>
            </w:r>
          </w:p>
        </w:tc>
        <w:tc>
          <w:tcPr>
            <w:tcW w:type="dxa" w:w="535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Uygulama / çıktı</w:t>
            </w:r>
          </w:p>
        </w:tc>
        <w:tc>
          <w:tcPr>
            <w:tcW w:type="dxa" w:w="251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Sorumlu</w:t>
            </w:r>
          </w:p>
        </w:tc>
      </w:tr>
      <w:tr>
        <w:trPr>
          <w:cantSplit/>
        </w:trPr>
        <w:tc>
          <w:tcPr>
            <w:tcW w:type="dxa" w:w="2227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Talep–kaynak dengeleme</w:t>
            </w:r>
          </w:p>
        </w:tc>
        <w:tc>
          <w:tcPr>
            <w:tcW w:type="dxa" w:w="535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Onaylı ufukta talep, darboğaz, vardiya, tedarik ve stok etkisini değerlendir; yatırım/ek kaynak ve risk kararını kaydet.</w:t>
            </w:r>
          </w:p>
        </w:tc>
        <w:tc>
          <w:tcPr>
            <w:tcW w:type="dxa" w:w="251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İlgili yönetim / planlama</w:t>
            </w:r>
          </w:p>
        </w:tc>
      </w:tr>
      <w:tr>
        <w:trPr>
          <w:cantSplit/>
        </w:trPr>
        <w:tc>
          <w:tcPr>
            <w:tcW w:type="dxa" w:w="2227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Ana üretim planı</w:t>
            </w:r>
          </w:p>
        </w:tc>
        <w:tc>
          <w:tcPr>
            <w:tcW w:type="dxa" w:w="535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Ürün/parça bazında miktar/termini; ürün ağacı, stok ve tedarik verileriyle eşleştir. Karşılanamayan talep için aksiyon belirle.</w:t>
            </w:r>
          </w:p>
        </w:tc>
        <w:tc>
          <w:tcPr>
            <w:tcW w:type="dxa" w:w="251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Planlama / satın alma</w:t>
            </w:r>
          </w:p>
        </w:tc>
      </w:tr>
      <w:tr>
        <w:trPr>
          <w:cantSplit/>
        </w:trPr>
        <w:tc>
          <w:tcPr>
            <w:tcW w:type="dxa" w:w="2227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Günlük / vardiya planı</w:t>
            </w:r>
          </w:p>
        </w:tc>
        <w:tc>
          <w:tcPr>
            <w:tcW w:type="dxa" w:w="535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Hat, iş emri, parça/revizyon, miktar, sıra ve başlangıç-bitişi yayınla; malzeme, ambalaj ve takımın hazır olduğunu doğrula.</w:t>
            </w:r>
          </w:p>
        </w:tc>
        <w:tc>
          <w:tcPr>
            <w:tcW w:type="dxa" w:w="251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Planlama / üretim</w:t>
            </w:r>
          </w:p>
        </w:tc>
      </w:tr>
      <w:tr>
        <w:trPr>
          <w:cantSplit/>
        </w:trPr>
        <w:tc>
          <w:tcPr>
            <w:tcW w:type="dxa" w:w="2227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Gerçekleşme takibi</w:t>
            </w:r>
          </w:p>
        </w:tc>
        <w:tc>
          <w:tcPr>
            <w:tcW w:type="dxa" w:w="535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Uygun ürün, duruş ve sapmayı EKG-URT-FRM-12 ile izle; teslimat etkisine göre yeniden planla ve eskalasyon yap.</w:t>
            </w:r>
          </w:p>
        </w:tc>
        <w:tc>
          <w:tcPr>
            <w:tcW w:type="dxa" w:w="2513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Vardiya sorumlusu / planlama</w:t>
            </w:r>
          </w:p>
        </w:tc>
      </w:tr>
    </w:tbl>
    <w:p>
      <w:pPr>
        <w:pStyle w:val="Heading1"/>
      </w:pPr>
      <w:r>
        <w:rPr>
          <w:rFonts w:ascii="Calibri" w:hAnsi="Calibri"/>
        </w:rPr>
        <w:t>4. Plan değişikliği ve uygulama</w:t>
      </w:r>
    </w:p>
    <w:p>
      <w:r>
        <w:rPr>
          <w:rFonts w:ascii="Calibri" w:hAnsi="Calibri"/>
        </w:rPr>
        <w:t>Yayınlanan planın sürümü ve geçerlilik zamanı tanımlanır; eski planın sahada kullanılmasına engel olunur. Değişiklikte müşteri termini, diğer işler, lot karışması, takım/ayar ve malzeme etkisi değerlendirilir. Etkilenen birimlere yeni sürüm bildirilir.</w:t>
      </w:r>
    </w:p>
    <w:p>
      <w:r>
        <w:rPr>
          <w:rFonts w:ascii="Calibri" w:hAnsi="Calibri"/>
        </w:rPr>
        <w:t>Yeni iş emri veya ürün/revizyon değişiminde hat temizliği, doğru malzeme/etiket, ayar ve gerekli ilk parça kontrolleri tamamlanır. Plan sapması yetkisiz bypass veya kontrol azaltma yetkisi vermez. Müşteri teslimat riski EKG-LOJ-PRS-05 ile yönetilir.</w:t>
      </w:r>
    </w:p>
    <w:p>
      <w:pPr>
        <w:pStyle w:val="Heading1"/>
      </w:pPr>
      <w:r>
        <w:rPr>
          <w:rFonts w:ascii="Calibri" w:hAnsi="Calibri"/>
        </w:rPr>
        <w:t>5. Kayıt ve performans</w:t>
      </w:r>
    </w:p>
    <w:p>
      <w:r>
        <w:rPr>
          <w:rFonts w:ascii="Calibri" w:hAnsi="Calibri"/>
        </w:rPr>
        <w:t>Talep sürümü, kapasite/malzeme değerlendirmesi, yayınlanan planlar, değişiklik kararları ve gerçekleşmeler izlenebilir tutulur. Plan gerçekleştirme uygun adet/planlı adet olarak; OTIF müşteri teslimat tanımına göre ayrı değerlendirilir. OEE kendi kullanılabilirlik, performans ve kalite verisiyle hesaplanır.</w:t>
      </w:r>
    </w:p>
    <w:p>
      <w:r>
        <w:rPr>
          <w:rFonts w:ascii="Calibri" w:hAnsi="Calibri"/>
        </w:rPr>
        <w:t>Hedef sapmalarında neden, sorumlu ve termin belirlenir; kritik/tekrarlayan sapmalarda gerekli kök neden ve kalıcı aksiyon izlenir. Sonuçlar kaynak planı ve ilgili proses risk değerlendirmesine girdi olur.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224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Üretim planlaması geçerli talep, kapasite, malzeme, kontrollü plan sürümü ve sapma aksiyonlarıyla düzenlendi.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EKG-URT-PRS-12</w:t>
          </w:r>
          <w:r>
            <w:rPr>
              <w:rFonts w:ascii="Calibri" w:hAnsi="Calibri"/>
              <w:b w:val="0"/>
              <w:sz w:val="17"/>
            </w:rPr>
            <w:br/>
            <w:t>İlk yayın: 13.05.2026</w:t>
          </w:r>
          <w:r>
            <w:rPr>
              <w:rFonts w:ascii="Calibri" w:hAnsi="Calibri"/>
              <w:b w:val="0"/>
              <w:sz w:val="17"/>
            </w:rPr>
            <w:br/>
            <w:t>Revizyon tarihi: 12.08.2026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EKG-URT-PRS-12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Üretim Planlama Prosedürü</dc:title>
  <dc:subject>EKG-URT-PRS-12</dc:subject>
  <dc:creator>Ekol Glass</dc:creator>
  <cp:keywords/>
  <dc:description>generated by python-docx</dc:description>
  <cp:lastModifiedBy>Ekol Glass</cp:lastModifiedBy>
  <cp:revision>1</cp:revision>
  <dcterms:created xsi:type="dcterms:W3CDTF">2026-05-13T09:00:00Z</dcterms:created>
  <dcterms:modified xsi:type="dcterms:W3CDTF">2026-10-19T09:00:00Z</dcterms:modified>
  <cp:category/>
</cp:coreProperties>
</file>