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Title"/>
      </w:pPr>
      <w:r>
        <w:rPr>
          <w:rFonts w:ascii="Calibri" w:hAnsi="Calibri"/>
        </w:rPr>
        <w:t>Stok Yönetimi ve İzlenebilirlik Prosedürü</w:t>
      </w:r>
    </w:p>
    <w:p>
      <w:pPr>
        <w:pStyle w:val="para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Hammadde, yardımcı malzeme, yarı mamul, bitmiş ürün ve ambalaj stoklarını kapsar. Depo kimlik/hareketi; planlama stok ihtiyacını; kalite uygunluk/statüyü; finans yetkili stok ve değer düzeltmelerini yönetir.</w:t>
      </w:r>
    </w:p>
    <w:p>
      <w:pPr>
        <w:pStyle w:val="para1"/>
      </w:pPr>
      <w:r>
        <w:rPr>
          <w:rFonts w:ascii="Calibri" w:hAnsi="Calibri"/>
        </w:rPr>
        <w:t>2. Kabul ve hareket</w:t>
      </w:r>
    </w:p>
    <w:p>
      <w:r>
        <w:rPr>
          <w:rFonts w:ascii="Calibri" w:hAnsi="Calibri"/>
        </w:rPr>
        <w:t>Parça, tedarikçi lotu, miktar/birim, giriş tarihi, konum, mülkiyet ve kalite statüsü kayıt altına alınır. Raf ömürlü malzemede son kullanma ve gerekliyse açılma/kullanım süresi izlenir. Lot bölme, birleştirme, yeniden işleme ve sevkiyat bağlantıları korunur.</w:t>
      </w:r>
    </w:p>
    <w:p>
      <w:pPr>
        <w:pStyle w:val="para1"/>
      </w:pPr>
      <w:r>
        <w:rPr>
          <w:rFonts w:ascii="Calibri" w:hAnsi="Calibri"/>
        </w:rPr>
        <w:t>3. FIFO / FEFO</w:t>
      </w:r>
    </w:p>
    <w:p>
      <w:r>
        <w:rPr>
          <w:rFonts w:ascii="Calibri" w:hAnsi="Calibri"/>
        </w:rPr>
        <w:t>Uygun ve kullanılabilir lotlar arasında FIFO uygulanır; raf ömürlü malzemede FEFO önceliklidir. Bloke veya müşteri şartını karşılamayan lot, eski olduğu için kullanılmaz. Gerekli istisna yetkili gerekçesi ve ürün uygunluğu değerlendirmesiyle kaydedilir.</w:t>
      </w:r>
    </w:p>
    <w:p>
      <w:r>
        <w:rPr>
          <w:rFonts w:ascii="Calibri" w:hAnsi="Calibri"/>
        </w:rPr>
        <w:t>Raf adresi, okunur etiket ve sistem kontrolü ile doğru lot doğrulanır. Otomatik kontrol yoksa aynı amacı sağlayan kayıtlı manuel kontrol kullanılır. Sistem kesintisinde EKG-LOJ-TLM-01 uygulanır.</w:t>
      </w:r>
    </w:p>
    <w:p>
      <w:pPr>
        <w:pStyle w:val="para1"/>
      </w:pPr>
      <w:r>
        <w:rPr>
          <w:rFonts w:ascii="Calibri" w:hAnsi="Calibri"/>
        </w:rPr>
        <w:t>4. Raf ömrü ve saklama</w:t>
      </w:r>
    </w:p>
    <w:p>
      <w:r>
        <w:rPr>
          <w:rFonts w:ascii="Calibri" w:hAnsi="Calibri"/>
        </w:rPr>
        <w:t>Stoklar üretici/müşteri koşullarında saklanır. Son kullanma yaklaşımı onaylı planlama uyarı süresine göre izlenir. Süresi dolan veya ortam sapmasından etkilenen stok fiziksel ve sistemsel olarak ayrılır.</w:t>
      </w:r>
    </w:p>
    <w:p>
      <w:r>
        <w:rPr>
          <w:rFonts w:ascii="Calibri" w:hAnsi="Calibri"/>
        </w:rPr>
        <w:t>Raf ömrü uzatma veya yeniden kullanım, yalnızca üretici/müşteri şartının izin verdiği yetkili teknik değerlendirme ve gerekli test/onaylarla yapılabilir. Sadece iç kalite imzası dış şartları geçersiz kılmaz.</w:t>
      </w:r>
    </w:p>
    <w:p>
      <w:pPr>
        <w:pStyle w:val="para1"/>
      </w:pPr>
      <w:r>
        <w:rPr>
          <w:rFonts w:ascii="Calibri" w:hAnsi="Calibri"/>
        </w:rPr>
        <w:t>5. Sayım ve fark yönetimi</w:t>
      </w:r>
    </w:p>
    <w:p>
      <w:r>
        <w:rPr>
          <w:rFonts w:ascii="Calibri" w:hAnsi="Calibri"/>
        </w:rPr>
        <w:t>ABC/risk ve onaylı takvime göre devirli sayım yapılır; gerekli genel/yasal sayım yükümlülüğü ayrıca korunur. Sayım sırasında hareketler kontrol edilir; parça, lot, konum ve birim doğrulanır.</w:t>
      </w:r>
    </w:p>
    <w:p>
      <w:r>
        <w:rPr>
          <w:rFonts w:ascii="Calibri" w:hAnsi="Calibri"/>
        </w:rPr>
        <w:t>Fark tekrar sayım ve hareket kayıtlarıyla araştırılır. Düzeltme gerekçesi, miktarı ve yetkili onayı korunur; farkı kapatmak için kayıtsız giriş/çıkış yapılamaz. EKG-LOJ-FRM-03 kullanılır.</w:t>
      </w:r>
    </w:p>
    <w:p>
      <w:pPr>
        <w:pStyle w:val="para1"/>
      </w:pPr>
      <w:r>
        <w:rPr>
          <w:rFonts w:ascii="Calibri" w:hAnsi="Calibri"/>
        </w:rPr>
        <w:t>6. Hareketsiz ve kullanım dışı stok</w:t>
      </w:r>
    </w:p>
    <w:p>
      <w:r>
        <w:rPr>
          <w:rFonts w:ascii="Calibri" w:hAnsi="Calibri"/>
        </w:rPr>
        <w:t>Onaylı eşikler ve kayıtlı değerlendirme tarihiyle hareketsiz/yavaş stok belirlenir. Planlama, kalite, satın alma ve ilgili mali yetkili ihtiyaç, kullanılabilirlik ve değer etkisini değerlendirir.</w:t>
      </w:r>
    </w:p>
    <w:p>
      <w:r>
        <w:rPr>
          <w:rFonts w:ascii="Calibri" w:hAnsi="Calibri"/>
        </w:rPr>
        <w:t>Alternatif kullanım, iade, satış veya hurda; teknik uygunluk, mülkiyet ve müşteri izinleri kontrol edilerek yetkili kararıyla yapılır. Müşteri malı izinsiz satılamaz veya hurdaya ayrılamaz. Karar ve gerçekleşme kanıtı kaydedilir.</w:t>
      </w:r>
    </w:p>
    <w:sectPr>
      <w:headerReference w:type="even" r:id="rIdEKGKimlik"/>
      <w:headerReference w:type="first" r:id="rIdEKGKimlik"/>
      <w:headerReference w:type="default" r:id="rId8"/>
      <w:footerReference w:type="default" r:id="rId9"/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224" w:right="1134" w:bottom="1008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a2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Stok prosedürüne FEFO, manuel kontrol, süresi dolan stok ve yetkili mülkiyet kararı kuralları eklendi.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EKG-LOJ-PRS-06</w:t>
          </w:r>
          <w:r>
            <w:rPr>
              <w:rFonts w:ascii="Calibri" w:hAnsi="Calibri"/>
              <w:b w:val="0"/>
              <w:sz w:val="17"/>
            </w:rPr>
            <w:br/>
            <w:t>İlk yayın: 13.05.2026</w:t>
          </w:r>
          <w:r>
            <w:rPr>
              <w:rFonts w:ascii="Calibri" w:hAnsi="Calibri"/>
              <w:b w:val="0"/>
              <w:sz w:val="17"/>
            </w:rPr>
            <w:br/>
            <w:t>Revizyon tarihi: 12.08.2026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EKG-LOJ-PRS-06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abstractNum w:abstractNumId="3">
    <w:multiLevelType w:val="singleLevel"/>
    <w:name w:val="Bullet 3"/>
    <w:lvl w:ilvl="0">
      <w:start w:val="1"/>
      <w:numFmt w:val="upperLetter"/>
      <w:lvlText w:val="%1"/>
      <w:lvlJc w:val="left"/>
      <w:pPr>
        <w:tabs>
          <w:tab w:val="num" w:pos="567"/>
        </w:tabs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o" w:pos="below" w:numFmt="decimal"/>
    <w:caption w:name="Şekil" w:pos="below" w:numFmt="decimal"/>
    <w:caption w:name="Resi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8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37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92319119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tr-t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  <w:pPr>
      <w:spacing w:after="100" w:line="252" w:lineRule="auto"/>
    </w:pPr>
    <w:rPr>
      <w:rFonts w:ascii="Calibri" w:hAnsi="Calibri"/>
      <w:color w:val="232D37"/>
      <w:sz w:val="21"/>
    </w:rPr>
  </w:style>
  <w:style w:type="paragraph" w:styleId="para1">
    <w:name w:val="heading 1"/>
    <w:qFormat/>
    <w:basedOn w:val="para0"/>
    <w:next w:val="para0"/>
    <w:pPr>
      <w:spacing w:before="180" w:after="80"/>
      <w:keepNext/>
      <w:outlineLvl w:val="0"/>
      <w:keepLines/>
    </w:pPr>
    <w:rPr>
      <w:rFonts w:ascii="Calibri" w:hAnsi="Calibri" w:cs="Arial"/>
      <w:b/>
      <w:bCs/>
      <w:color w:val="18364A"/>
      <w:sz w:val="24"/>
      <w:szCs w:val="36"/>
    </w:rPr>
    <w:key w:val="1073"/>
  </w:style>
  <w:style w:type="paragraph" w:styleId="para2">
    <w:name w:val="heading 2"/>
    <w:qFormat/>
    <w:basedOn w:val="para1"/>
    <w:next w:val="para0"/>
    <w:pPr>
      <w:keepNext/>
      <w:spacing w:before="180" w:after="80"/>
      <w:outlineLvl w:val="1"/>
    </w:pPr>
    <w:rPr>
      <w:rFonts w:ascii="Calibri" w:hAnsi="Calibri"/>
      <w:b/>
      <w:color w:val="18364A"/>
      <w:sz w:val="22"/>
      <w:szCs w:val="32"/>
    </w:rPr>
    <w:key w:val="1074"/>
  </w:style>
  <w:style w:type="paragraph" w:styleId="para3">
    <w:name w:val="heading 3"/>
    <w:qFormat/>
    <w:basedOn w:val="para2"/>
    <w:next w:val="para0"/>
    <w:pPr>
      <w:keepNext/>
      <w:spacing w:before="180" w:after="80"/>
      <w:outlineLvl w:val="2"/>
    </w:pPr>
    <w:rPr>
      <w:rFonts w:ascii="Calibri" w:hAnsi="Calibri"/>
      <w:b/>
      <w:color w:val="18364A"/>
      <w:sz w:val="21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pPr>
      <w:keepNext/>
      <w:spacing w:before="180" w:after="80"/>
    </w:pPr>
    <w:rPr>
      <w:rFonts w:ascii="Calibri" w:hAnsi="Calibri"/>
      <w:b/>
      <w:color w:val="18364A"/>
      <w:sz w:val="32"/>
    </w:r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tr-t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Relationship Id="rIdEKGKimlik" Type="http://schemas.openxmlformats.org/officeDocument/2006/relationships/header" Target="headerEKGKimlik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Stok Yönetimi ve İzlenebilirlik Prosedürü</dc:title>
  <dc:subject>EKG-LOJ-PRS-06</dc:subject>
  <dc:creator>Ekol Glass</dc:creator>
  <cp:keywords/>
  <dc:description/>
  <cp:lastModifiedBy>Ekol Glass</cp:lastModifiedBy>
  <cp:revision>1</cp:revision>
  <dcterms:created xsi:type="dcterms:W3CDTF">2026-05-13T09:00:00Z</dcterms:created>
  <dcterms:modified xsi:type="dcterms:W3CDTF">2026-10-19T09:00:00Z</dcterms:modified>
</cp:coreProperties>
</file>