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Title"/>
      </w:pPr>
      <w:r>
        <w:rPr>
          <w:rFonts w:ascii="Calibri" w:hAnsi="Calibri"/>
        </w:rPr>
        <w:t>Ambalaj Geliştirme ve Validasyon Prosedürü</w:t>
      </w:r>
    </w:p>
    <w:p>
      <w:pPr>
        <w:pStyle w:val="para1"/>
      </w:pPr>
      <w:r>
        <w:rPr>
          <w:rFonts w:ascii="Calibri" w:hAnsi="Calibri"/>
        </w:rPr>
        <w:t>1. Amaç ve sorumluluk</w:t>
      </w:r>
    </w:p>
    <w:p>
      <w:r>
        <w:rPr>
          <w:rFonts w:ascii="Calibri" w:hAnsi="Calibri"/>
        </w:rPr>
        <w:t>Yeni veya değişen ürün ambalajının ürünü depolama, iç taşıma ve sevkiyat boyunca korumasını sağlamak. Lojistik tasarım ve havuz ihtiyacını; üretim kullanım ve ergonomiyi; kalite doğrulamayı; satın alma tedariki koordine eder.</w:t>
      </w:r>
    </w:p>
    <w:p>
      <w:pPr>
        <w:pStyle w:val="para1"/>
      </w:pPr>
      <w:r>
        <w:rPr>
          <w:rFonts w:ascii="Calibri" w:hAnsi="Calibri"/>
        </w:rPr>
        <w:t>2. Tasarım girdileri</w:t>
      </w:r>
    </w:p>
    <w:p>
      <w:r>
        <w:rPr>
          <w:rFonts w:ascii="Calibri" w:hAnsi="Calibri"/>
        </w:rPr>
        <w:t>Parça kodu ve revizyonu, ağırlık, cam kenar/yüzey hassasiyeti, yerleşim yönü, paket içi miktar, taşıma güzergâhı, elleçleme yöntemi ve müşteri şartları belirlenir. Ürüne temas eden ayırıcılar çizilme ve kirlenme oluşturmayacak şekilde seçilir.</w:t>
      </w:r>
    </w:p>
    <w:p>
      <w:r>
        <w:rPr>
          <w:rFonts w:ascii="Calibri" w:hAnsi="Calibri"/>
        </w:rPr>
        <w:t>Ambalaj kodu/revizyonu, ölçüler, boş ve dolu ağırlık, sabitleme, dolu/boş istif sınırı, etiket yeri ve hat besleme uygunluğu ambalaj şartnamesinde gösterilir. İstif ve taşıma sınırları tasarımla doğrulanır.</w:t>
      </w:r>
    </w:p>
    <w:p>
      <w:pPr>
        <w:pStyle w:val="para1"/>
      </w:pPr>
      <w:r>
        <w:rPr>
          <w:rFonts w:ascii="Calibri" w:hAnsi="Calibri"/>
        </w:rPr>
        <w:t>3. Doğrulama planı</w:t>
      </w:r>
    </w:p>
    <w:p>
      <w:r>
        <w:rPr>
          <w:rFonts w:ascii="Calibri" w:hAnsi="Calibri"/>
        </w:rPr>
        <w:t>Testten önce uygulanacak yöntem, yük/numune, taşıma koşulu, kabul kriteri ve sorumlu belirlenir. Düşme, titreşim, istif ve yol denemesi; ambalaj türü, risk ve müşteri şartına göre seçilir. ASTM veya başka bir standart yalnızca onaylı planda isteniyorsa uygulanır.</w:t>
      </w:r>
    </w:p>
    <w:p>
      <w:r>
        <w:rPr>
          <w:rFonts w:ascii="Calibri" w:hAnsi="Calibri"/>
        </w:rPr>
        <w:t>Test edilen ambalaj ve ürün revizyonu, numune/lot, test tarihi, koşullar, ölçüm/gözlemler ve sonuç EKG-LOJ-FRM-02 ile kaydedilir. Ürün yüzeyi, kenarı, ölçüsel/fonksiyonel uygunluğu ve ambalaj bütünlüğü tanımlı kabul kriterlerine göre kontrol edilir. Uygunsuz tasarım düzeltilip etkilenen kontroller tekrarlanır.</w:t>
      </w:r>
    </w:p>
    <w:p>
      <w:pPr>
        <w:pStyle w:val="para1"/>
      </w:pPr>
      <w:r>
        <w:rPr>
          <w:rFonts w:ascii="Calibri" w:hAnsi="Calibri"/>
        </w:rPr>
        <w:t>4. Onay ve devreye alma</w:t>
      </w:r>
    </w:p>
    <w:p>
      <w:r>
        <w:rPr>
          <w:rFonts w:ascii="Calibri" w:hAnsi="Calibri"/>
        </w:rPr>
        <w:t>İç teknik doğrulama ve müşteri şartının gerektirdiği ambalaj onayı tamamlanmadan seri kullanıma geçilmez. PPAP bağlantısı müşteri gerekliliğine göre değerlendirilir. İstisna gerekiyorsa yetkili yazılı izin, kapsam, miktar ve geçerlilik sınırı kayda alınır.</w:t>
      </w:r>
    </w:p>
    <w:p>
      <w:r>
        <w:rPr>
          <w:rFonts w:ascii="Calibri" w:hAnsi="Calibri"/>
        </w:rPr>
        <w:t>Onaylı şartname kullanım noktasında erişilebilir tutulur. Ürün, malzeme, ayırıcı, kapasite veya taşıma koşulu değişirse etkisi değerlendirilir; gerekli test ve onaylar kullanım öncesinde yenilenir.</w:t>
      </w:r>
    </w:p>
    <w:p>
      <w:pPr>
        <w:pStyle w:val="para1"/>
      </w:pPr>
      <w:r>
        <w:rPr>
          <w:rFonts w:ascii="Calibri" w:hAnsi="Calibri"/>
        </w:rPr>
        <w:t>5. Tekrar kullanım ve alternatif ambalaj</w:t>
      </w:r>
    </w:p>
    <w:p>
      <w:r>
        <w:rPr>
          <w:rFonts w:ascii="Calibri" w:hAnsi="Calibri"/>
        </w:rPr>
        <w:t>Her dönüşte temizlik, kuruluk, bağlantılar, ayırıcılar ve eski etiketler kontrol edilir. Hasarlı/kirli ambalaj kullanılabilir stoktan ayrılır; onarım sonrası uygunluk doğrulanır.</w:t>
      </w:r>
    </w:p>
    <w:p>
      <w:r>
        <w:rPr>
          <w:rFonts w:ascii="Calibri" w:hAnsi="Calibri"/>
        </w:rPr>
        <w:t>Boş ambalaj yetersizliğinde sadece ilgili parça için değerlendirilmiş ve müşteri şartlarının gerektirdiği onayı alınmış alternatif kullanılır. Ambalaj değişse de parça/lot ve sevkiyat izlenebilirliği korunur.</w:t>
      </w:r>
    </w:p>
    <w:p>
      <w:pPr>
        <w:pStyle w:val="para1"/>
      </w:pPr>
      <w:r>
        <w:rPr>
          <w:rFonts w:ascii="Calibri" w:hAnsi="Calibri"/>
        </w:rPr>
        <w:t>6. Kayıtlar</w:t>
      </w:r>
    </w:p>
    <w:p>
      <w:r>
        <w:rPr>
          <w:rFonts w:ascii="Calibri" w:hAnsi="Calibri"/>
        </w:rPr>
        <w:t>Ambalaj şartnamesi ve revizyonu, EKG-LOJ-FRM-02 test/onay kanıtları ve ilgili değişiklik kayıtları doküman kontrol kurallarına göre saklanır.</w:t>
      </w:r>
    </w:p>
    <w:sectPr>
      <w:headerReference w:type="even" r:id="rIdEKGKimlik"/>
      <w:headerReference w:type="first" r:id="rIdEKGKimlik"/>
      <w:headerReference w:type="default" r:id="rId8"/>
      <w:footerReference w:type="default" r:id="rId9"/>
      <w:footnotePr>
        <w:pos w:val="pageBottom"/>
        <w:numFmt w:val="decimal"/>
        <w:numStart w:val="1"/>
        <w:numRestart w:val="continuous"/>
      </w:footnotePr>
      <w:endnotePr>
        <w:pos w:val="docEnd"/>
        <w:numFmt w:val="lowerRoman"/>
        <w:numStart w:val="1"/>
        <w:numRestart w:val="continuous"/>
      </w:endnotePr>
      <w:type w:val="continuous"/>
      <w:pgSz w:h="16839" w:w="11907"/>
      <w:pgMar w:left="1134" w:top="1224" w:right="1134" w:bottom="1008"/>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font>
  <w:font w:name="SimSun">
    <w:panose1 w:val="02010600030101010101"/>
    <w:charset w:val="00"/>
    <w:family w:val="auto"/>
    <w:pitch w:val="default"/>
  </w:font>
  <w:font w:name="Arial">
    <w:panose1 w:val="020B0604020202020204"/>
    <w:charset w:val="a2"/>
    <w:family w:val="swiss"/>
    <w:pitch w:val="default"/>
  </w:font>
  <w:font w:name="Courier New">
    <w:panose1 w:val="02070309020205020404"/>
    <w:charset w:val="a2"/>
    <w:family w:val="modern"/>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p>
    <w:pPr>
      <w:spacing w:before="0" w:after="0"/>
    </w:pPr>
    <w:r>
      <w:rPr>
        <w:rFonts w:ascii="Arial" w:hAnsi="Arial"/>
        <w:sz w:val="20"/>
      </w:rPr>
      <w:t>Revizyon nedeni: Ambalaj geliştirme akışı risk esaslı plan, izlenebilir test kaydı ve seri kullanım koşullarıyla düzenlendi.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logo.png"/>
                        <pic:cNvPicPr/>
                      </pic:nvPicPr>
                      <pic:blipFill>
                        <a:blip r:embed="rId2"/>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EKG-LOJ-PRS-01</w:t>
          </w:r>
          <w:r>
            <w:rPr>
              <w:rFonts w:ascii="Calibri" w:hAnsi="Calibri"/>
              <w:b w:val="0"/>
              <w:sz w:val="17"/>
            </w:rPr>
            <w:br/>
            <w:t>İlk yayın: 14.05.2026</w:t>
          </w:r>
          <w:r>
            <w:rPr>
              <w:rFonts w:ascii="Calibri" w:hAnsi="Calibri"/>
              <w:b w:val="0"/>
              <w:sz w:val="17"/>
            </w:rPr>
            <w:br/>
            <w:t>Revizyon tarihi: 13.08.2026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EKG-LOJ-PRS-01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o" w:pos="below" w:numFmt="decimal"/>
    <w:caption w:name="Şekil" w:pos="below" w:numFmt="decimal"/>
    <w:caption w:name="Resim"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9"/>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8"/>
      <w:tmLastPosIdx w:val="1"/>
    </w:tmLastPosCaret>
    <w:tmLastPosAnchor>
      <w:tmLastPosPgfIdx w:val="0"/>
      <w:tmLastPosIdx w:val="0"/>
    </w:tmLastPosAnchor>
    <w:tmLastPosTblRect w:left="0" w:top="0" w:right="0" w:bottom="0"/>
  </w:tmLastPos>
  <w:tmAppRevision w:date="1792321614"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tr-t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pPr>
      <w:spacing w:after="100" w:line="252" w:lineRule="auto"/>
    </w:pPr>
    <w:rPr>
      <w:rFonts w:ascii="Calibri" w:hAnsi="Calibri"/>
      <w:color w:val="232D37"/>
      <w:sz w:val="21"/>
    </w:rPr>
  </w:style>
  <w:style w:type="paragraph" w:styleId="para1">
    <w:name w:val="heading 1"/>
    <w:qFormat/>
    <w:basedOn w:val="para0"/>
    <w:next w:val="para0"/>
    <w:pPr>
      <w:spacing w:before="180" w:after="80"/>
      <w:keepNext/>
      <w:outlineLvl w:val="0"/>
      <w:keepLines/>
    </w:pPr>
    <w:rPr>
      <w:rFonts w:ascii="Calibri" w:hAnsi="Calibri" w:cs="Arial"/>
      <w:b/>
      <w:bCs/>
      <w:color w:val="18364A"/>
      <w:sz w:val="24"/>
      <w:szCs w:val="36"/>
    </w:rPr>
    <w:key w:val="1073"/>
  </w:style>
  <w:style w:type="paragraph" w:styleId="para2">
    <w:name w:val="heading 2"/>
    <w:qFormat/>
    <w:basedOn w:val="para1"/>
    <w:next w:val="para0"/>
    <w:pPr>
      <w:keepNext/>
      <w:spacing w:before="180" w:after="80"/>
      <w:outlineLvl w:val="1"/>
    </w:pPr>
    <w:rPr>
      <w:rFonts w:ascii="Calibri" w:hAnsi="Calibri"/>
      <w:b/>
      <w:color w:val="18364A"/>
      <w:sz w:val="22"/>
      <w:szCs w:val="32"/>
    </w:rPr>
    <w:key w:val="1074"/>
  </w:style>
  <w:style w:type="paragraph" w:styleId="para3">
    <w:name w:val="heading 3"/>
    <w:qFormat/>
    <w:basedOn w:val="para2"/>
    <w:next w:val="para0"/>
    <w:pPr>
      <w:keepNext/>
      <w:spacing w:before="180" w:after="80"/>
      <w:outlineLvl w:val="2"/>
    </w:pPr>
    <w:rPr>
      <w:rFonts w:ascii="Calibri" w:hAnsi="Calibri"/>
      <w:b/>
      <w:color w:val="18364A"/>
      <w:sz w:val="21"/>
      <w:szCs w:val="28"/>
    </w:rPr>
    <w:key w:val="1075"/>
  </w:style>
  <w:style w:type="character" w:styleId="char0" w:default="1">
    <w:name w:val="Default Paragraph Font"/>
  </w:style>
  <w:style w:type="table" w:default="1" w:styleId="TableNormal">
    <w:name w:val="Normal tablo"/>
    <w:uiPriority w:val="99"/>
    <w:semiHidden/>
    <w:unhideWhenUsed/>
    <w:tblPr>
      <w:tblStyleRowBandSize w:val="1"/>
      <w:tblStyleColBandSize w:val="1"/>
      <w:tblInd w:w="0" w:type="dxa"/>
      <w:tblCellMar>
        <w:top w:w="0" w:type="dxa"/>
        <w:left w:w="108" w:type="dxa"/>
        <w:bottom w:w="0" w:type="dxa"/>
        <w:right w:w="108" w:type="dxa"/>
      </w:tblCellMar>
    </w:tblPr>
  </w:style>
  <w:style w:type="paragraph" w:customStyle="1" w:styleId="Title">
    <w:name w:val="Title"/>
    <w:pPr>
      <w:keepNext/>
      <w:spacing w:before="180" w:after="80"/>
    </w:pPr>
    <w:rPr>
      <w:rFonts w:ascii="Calibri" w:hAnsi="Calibri"/>
      <w:b/>
      <w:color w:val="18364A"/>
      <w:sz w:val="32"/>
    </w:r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tr-t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o"/>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EKGKimlik" Type="http://schemas.openxmlformats.org/officeDocument/2006/relationships/header" Target="headerEKGKimlik.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Ambalaj Geliştirme ve Validasyon Prosedürü</dc:title>
  <dc:subject>EKG-LOJ-PRS-01</dc:subject>
  <dc:creator>Ekol Glass</dc:creator>
  <cp:keywords/>
  <dc:description/>
  <cp:lastModifiedBy>Ekol Glass</cp:lastModifiedBy>
  <cp:revision>1</cp:revision>
  <dcterms:created xsi:type="dcterms:W3CDTF">2026-05-14T09:00:00Z</dcterms:created>
  <dcterms:modified xsi:type="dcterms:W3CDTF">2026-10-19T09:00:00Z</dcterms:modified>
</cp:coreProperties>
</file>