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EKGKimlik.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KonuBal"/>
      </w:pPr>
      <w:r>
        <w:rPr>
          <w:rFonts w:ascii="Calibri" w:hAnsi="Calibri"/>
        </w:rPr>
        <w:t>Kayıtların Kontrolü Prosedürü</w:t>
      </w:r>
    </w:p>
    <w:p>
      <w:pPr>
        <w:pStyle w:val="Balk1"/>
      </w:pPr>
      <w:r>
        <w:rPr>
          <w:rFonts w:ascii="Calibri" w:hAnsi="Calibri"/>
        </w:rPr>
        <w:t>1 Amaç ve kapsam</w:t>
      </w:r>
    </w:p>
    <w:p>
      <w:r>
        <w:rPr>
          <w:rFonts w:ascii="Calibri" w:hAnsi="Calibri"/>
        </w:rPr>
        <w:t>Üretim, muayene/test, izlenebilirlik, tedarik, bakım, yetkinlik, müşteri ve yönetim kayıtlarının doğru, korunmuş ve erişilebilir tutulmasını sağlamak. Kâğıt ve elektronik kayıtlar kapsamdadır.</w:t>
      </w:r>
    </w:p>
    <w:p>
      <w:pPr>
        <w:pStyle w:val="Balk1"/>
      </w:pPr>
      <w:r>
        <w:rPr>
          <w:rFonts w:ascii="Calibri" w:hAnsi="Calibri"/>
        </w:rPr>
        <w:t>2 Sorumluluk</w:t>
      </w:r>
    </w:p>
    <w:p>
      <w:r>
        <w:rPr>
          <w:rFonts w:ascii="Calibri" w:hAnsi="Calibri"/>
        </w:rPr>
        <w:t>Kaydı oluşturan kişi gerçekleşen işlemi ve sonucu zamanında kaydeder. Bölüm sorumlusu kayıt bütünlüğü, tanımlı konum ve erişimi yönetir. Kalite saklama listesini ve kayıt örneklerini kontrol eder. BT elektronik erişim, yedekleme ve geri yükleme planını uygular.</w:t>
      </w:r>
    </w:p>
    <w:p>
      <w:pPr>
        <w:pStyle w:val="Balk1"/>
      </w:pPr>
      <w:r>
        <w:rPr>
          <w:rFonts w:ascii="Calibri" w:hAnsi="Calibri"/>
        </w:rPr>
        <w:t>3 Oluşturma ve düzeltme</w:t>
      </w:r>
    </w:p>
    <w:p>
      <w:r>
        <w:rPr>
          <w:rFonts w:ascii="Calibri" w:hAnsi="Calibri"/>
        </w:rPr>
        <w:t>Kayıt; işlem tarihi, ilgili ürün/lot/olay, sonuç ve kaydı oluşturan kişiyle ilişkilendirilir. Yalnız işe gerekli alanlar doldurulur; uygulanmayan alan gerekçesiyle belirtilir. Eksik, okunaksız veya kimliği belirsiz kayıt uygunluk kanıtı sayılmaz; sorumlusu inceleyerek tamamlayıcı doğrulama başlatır.</w:t>
      </w:r>
    </w:p>
    <w:p>
      <w:r>
        <w:rPr>
          <w:rFonts w:ascii="Calibri" w:hAnsi="Calibri"/>
        </w:rPr>
        <w:t>Düzeltme ilk bilgiyi okunur bırakır; düzelten, gerçek düzeltme tarihi ve gerekçesi izlenebilir olur. Elektronik değişiklik geçmişi korunur. Yapılmayan kontrol, gerçekleşmeyen test ve alınmayan onay tamamlanmış gösterilmez. Şablonun yayın tarihi gerçek kayıt/işlem tarihinin yerine geçmez.</w:t>
      </w:r>
    </w:p>
    <w:p>
      <w:pPr>
        <w:pStyle w:val="Balk1"/>
      </w:pPr>
      <w:r>
        <w:rPr>
          <w:rFonts w:ascii="Calibri" w:hAnsi="Calibri"/>
        </w:rPr>
        <w:t>4 Koruma ve erişim</w:t>
      </w:r>
    </w:p>
    <w:p>
      <w:r>
        <w:rPr>
          <w:rFonts w:ascii="Calibri" w:hAnsi="Calibri"/>
        </w:rPr>
        <w:t>Kâğıt kayıtlar hasar, nem, kayıp ve yetkisiz erişime karşı uygun klasör/alanlarda korunur. Elektronik kayıt için yetki, sorumlu, konum, yedekleme sıklığı, ayrıştırma ve geri yükleme testi risk ve müşteri şartıyla tanımlanır. Yapıldığı doğrulanmayan yedekleme veya test tamamlanmış sayılmaz.</w:t>
      </w:r>
    </w:p>
    <w:p>
      <w:r>
        <w:rPr>
          <w:rFonts w:ascii="Calibri" w:hAnsi="Calibri"/>
        </w:rPr>
        <w:t>Kişisel, müşteri ve ticari bilgide yalnız görev gereği erişim sağlanır. Kayıt istenince ürün/lot/olay ve dönem üzerinden bulunabilir olmalıdır. Format veya sistem değişiminde içerik, ilişki ve okunabilirlik doğrulanır.</w:t>
      </w:r>
    </w:p>
    <w:p>
      <w:pPr>
        <w:pStyle w:val="Balk1"/>
      </w:pPr>
      <w:r>
        <w:rPr>
          <w:rFonts w:ascii="Calibri" w:hAnsi="Calibri"/>
        </w:rPr>
        <w:t>5 Saklama ve imha</w:t>
      </w:r>
    </w:p>
    <w:p>
      <w:r>
        <w:rPr>
          <w:rFonts w:ascii="Calibri" w:hAnsi="Calibri"/>
        </w:rPr>
        <w:t>EKG-YNT-LST-03; kayıt grubu, sorumlu, konum, süreyi başlatan olay, asgari süre ve bağlayıcı kaynakla yönetilir. Müşteri/sözleşme, uygulanabilir mevzuat, ürün ömrü ve açık hukuki/teknik ihtiyaç birlikte değerlendirilir; bağlayıcı daha uzun süre önceliklidir. Genel bir ürün standardı adı tek başına tüm kayıtlar için aynı süreyi oluşturmaz.</w:t>
      </w:r>
    </w:p>
    <w:p>
      <w:r>
        <w:rPr>
          <w:rFonts w:ascii="Calibri" w:hAnsi="Calibri"/>
        </w:rPr>
        <w:t>Süre sonunda açık şikâyet, soruşturma, ürün güvenliği olayı veya saklama talebi olup olmadığı kontrol edilir. İmha yetkili kararıyla EKG-YNT-LST-10’a kaydedilir. Kâğıt belgeler güvenli parçalama, elektronik kayıtlar onaylı güvenli silme yöntemiyle yönetilir; yetkisiz yakma veya çevreye atma uygulanmaz. Yedek kopyaların yaşam döngüsü de dikkate alınır.</w:t>
      </w:r>
    </w:p>
    <w:p>
      <w:pPr>
        <w:pStyle w:val="Balk1"/>
      </w:pPr>
      <w:r>
        <w:rPr>
          <w:rFonts w:ascii="Calibri" w:hAnsi="Calibri"/>
        </w:rPr>
        <w:t>6 İlgili belgeler</w:t>
      </w:r>
    </w:p>
    <w:p>
      <w:r>
        <w:rPr>
          <w:rFonts w:ascii="Calibri" w:hAnsi="Calibri"/>
        </w:rPr>
        <w:t>EKG-YNT-PRS-01 / EKG-YNT-TLM-02 / EKG-YNT-LST-03 / EKG-YNT-LST-10 / EKG-YNT-PRS-05</w:t>
      </w:r>
    </w:p>
    <w:sectPr w:rsidR="00AB4593" w:rsidSect="00034616">
      <w:headerReference w:type="even" r:id="rIdEKGKimlik"/>
      <w:headerReference w:type="first" r:id="rIdEKGKimlik"/>
      <w:headerReference w:type="default" r:id="rIdEKGKimlik"/>
      <w:footerReference w:type="default" r:id="rI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sz w:val="16"/>
      </w:rPr>
      <w:t xml:space="preserve">Sayfa </w:t>
    </w:r>
    <w:fldSimple w:instr="PAGE"/>
    <w:r>
      <w:t xml:space="preserve"> / </w:t>
    </w:r>
    <w:fldSimple w:instr="NUMPAGES"/>
  </w:p>
</w:ftr>
</file>

<file path=word/headerEKGKimlik.xml><?xml version="1.0" encoding="utf-8"?>
<w:hdr xmlns:w="http://schemas.openxmlformats.org/wordprocessingml/2006/main">
  <w:tbl>
    <w:tblPr>
      <w:tblW w:type="auto" w:w="0"/>
      <w:tblLayout w:type="fixed"/>
      <w:tblLook w:firstColumn="1" w:firstRow="1" w:lastColumn="0" w:lastRow="0" w:noHBand="0" w:noVBand="1" w:val="04A0"/>
    </w:tblPr>
    <w:tblGrid>
      <w:gridCol w:w="3628"/>
      <w:gridCol w:w="6463"/>
    </w:tblGrid>
    <w:tr>
      <w:tc>
        <w:tcPr>
          <w:tcW w:type="dxa" w:w="5046"/>
        </w:tcPr>
        <w:p>
          <w:pPr>
            <w:spacing w:after="0"/>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1296000" cy="44820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296000" cy="448200"/>
                        </a:xfrm>
                        <a:prstGeom prst="rect"/>
                      </pic:spPr>
                    </pic:pic>
                  </a:graphicData>
                </a:graphic>
              </wp:inline>
            </w:drawing>
          </w:r>
        </w:p>
      </w:tc>
      <w:tc>
        <w:tcPr>
          <w:tcW w:type="dxa" w:w="5046"/>
        </w:tcPr>
        <w:p>
          <w:pPr>
            <w:spacing w:after="0"/>
            <w:jc w:val="right"/>
          </w:pPr>
          <w:r>
            <w:rPr>
              <w:rFonts w:ascii="Calibri" w:hAnsi="Calibri"/>
              <w:b/>
              <w:sz w:val="17"/>
            </w:rPr>
            <w:t>EKG-YNT-PRS-07</w:t>
          </w:r>
          <w:r>
            <w:rPr>
              <w:rFonts w:ascii="Calibri" w:hAnsi="Calibri"/>
              <w:b w:val="0"/>
              <w:sz w:val="17"/>
            </w:rPr>
            <w:br/>
            <w:t>İlk yayın: 04.05.2026</w:t>
          </w:r>
          <w:r>
            <w:rPr>
              <w:rFonts w:ascii="Calibri" w:hAnsi="Calibri"/>
              <w:b w:val="0"/>
              <w:sz w:val="17"/>
            </w:rPr>
            <w:br/>
            <w:t>Revizyon tarihi: 19.10.2026</w:t>
          </w:r>
        </w:p>
      </w:tc>
    </w:tr>
  </w:tbl>
  <w:p>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965303583">
    <w:abstractNumId w:val="8"/>
  </w:num>
  <w:num w:numId="2" w16cid:durableId="1528525261">
    <w:abstractNumId w:val="6"/>
  </w:num>
  <w:num w:numId="3" w16cid:durableId="1611624327">
    <w:abstractNumId w:val="5"/>
  </w:num>
  <w:num w:numId="4" w16cid:durableId="203907726">
    <w:abstractNumId w:val="4"/>
  </w:num>
  <w:num w:numId="5" w16cid:durableId="1883905841">
    <w:abstractNumId w:val="7"/>
  </w:num>
  <w:num w:numId="6" w16cid:durableId="412364058">
    <w:abstractNumId w:val="3"/>
  </w:num>
  <w:num w:numId="7" w16cid:durableId="1580672176">
    <w:abstractNumId w:val="2"/>
  </w:num>
  <w:num w:numId="8" w16cid:durableId="1257056010">
    <w:abstractNumId w:val="1"/>
  </w:num>
  <w:num w:numId="9" w16cid:durableId="1901357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B5571"/>
    <w:rsid w:val="00AA1D8D"/>
    <w:rsid w:val="00AB4593"/>
    <w:rsid w:val="00B44BB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DFD267"/>
  <w14:defaultImageDpi w14:val="300"/>
  <w15:docId w15:val="{CD2D957E-E59E-41DA-BB4B-C2ACF939A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Calibri" w:hAnsi="Calibri"/>
      <w:color w:val="000000"/>
      <w:sz w:val="21"/>
    </w:rPr>
  </w:style>
  <w:style w:type="paragraph" w:styleId="Balk1">
    <w:name w:val="heading 1"/>
    <w:basedOn w:val="Normal"/>
    <w:next w:val="Normal"/>
    <w:link w:val="Balk1Char"/>
    <w:uiPriority w:val="9"/>
    <w:qFormat/>
    <w:rsid w:val="00FC693F"/>
    <w:pPr>
      <w:keepNext/>
      <w:keepLines/>
      <w:spacing w:before="180" w:after="80"/>
      <w:outlineLvl w:val="0"/>
    </w:pPr>
    <w:rPr>
      <w:rFonts w:asciiTheme="majorHAnsi" w:eastAsiaTheme="majorEastAsia" w:hAnsiTheme="majorHAnsi" w:cstheme="majorBidi" w:ascii="Calibri" w:hAnsi="Calibri"/>
      <w:b/>
      <w:bCs/>
      <w:color w:val="18364A"/>
      <w:sz w:val="24"/>
      <w:szCs w:val="28"/>
    </w:rPr>
  </w:style>
  <w:style w:type="paragraph" w:styleId="Balk2">
    <w:name w:val="heading 2"/>
    <w:basedOn w:val="Normal"/>
    <w:next w:val="Normal"/>
    <w:link w:val="Balk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18364A"/>
      <w:sz w:val="22"/>
      <w:szCs w:val="26"/>
    </w:rPr>
  </w:style>
  <w:style w:type="paragraph" w:styleId="Balk3">
    <w:name w:val="heading 3"/>
    <w:basedOn w:val="Normal"/>
    <w:next w:val="Normal"/>
    <w:link w:val="Balk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8364A"/>
      <w:sz w:val="2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keepNext/>
      <w:pBdr>
        <w:bottom w:val="single" w:sz="8" w:space="4" w:color="4F81BD" w:themeColor="accent1"/>
      </w:pBdr>
      <w:spacing w:after="80" w:line="240" w:lineRule="auto" w:before="180"/>
      <w:contextualSpacing/>
    </w:pPr>
    <w:rPr>
      <w:rFonts w:asciiTheme="majorHAnsi" w:eastAsiaTheme="majorEastAsia" w:hAnsiTheme="majorHAnsi" w:cstheme="majorBidi" w:ascii="Calibri" w:hAnsi="Calibri"/>
      <w:b/>
      <w:color w:val="18364A"/>
      <w:spacing w:val="5"/>
      <w:kern w:val="28"/>
      <w:sz w:val="3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EKGKimlik" Type="http://schemas.openxmlformats.org/officeDocument/2006/relationships/header" Target="headerEKGKimlik.xml"/><Relationship Id="rId8" Type="http://schemas.openxmlformats.org/officeDocument/2006/relationships/footer" Target="footer1.xml"/></Relationships>
</file>

<file path=word/_rels/headerEKGKimlik.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521</Words>
  <Characters>2974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Kayıtların Kontrolü Prosedürü</dc:title>
  <dc:subject>EKG-YNT-PRS-07</dc:subject>
  <dc:creator>Ekol Glass</dc:creator>
  <cp:keywords/>
  <dc:description>generated by python-docx</dc:description>
  <cp:lastModifiedBy>Ekol Glass</cp:lastModifiedBy>
  <cp:revision>3</cp:revision>
  <dcterms:created xsi:type="dcterms:W3CDTF">2026-05-04T09:00:00Z</dcterms:created>
  <dcterms:modified xsi:type="dcterms:W3CDTF">2026-10-19T09:00:00Z</dcterms:modified>
  <cp:category/>
</cp:coreProperties>
</file>