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Ürün Güvenliği Prosedürü</w:t>
      </w:r>
    </w:p>
    <w:p>
      <w:r>
        <w:rPr>
          <w:rFonts w:ascii="Calibri" w:hAnsi="Calibri"/>
        </w:rPr>
        <w:t>Ürün güvenliği ve mevzuat karakteristiklerini üretimden teslimata kadar tanımlı kontrol ve eskalasyonla korumak.</w:t>
      </w:r>
    </w:p>
    <w:p>
      <w:pPr>
        <w:pStyle w:val="Heading1"/>
      </w:pPr>
      <w:r>
        <w:rPr>
          <w:rFonts w:ascii="Calibri" w:hAnsi="Calibri"/>
        </w:rPr>
        <w:t>1 Sorumluluk ve yetki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Sorumluluk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Fabrika Yönetimi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Ürün Güvenliği Sorumlusunu ve yedeğini görevlendirir; gerekli kaynak ve durdurma yetkisini sağlar.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Ürün Güvenliği Sorumlusu / Kalite Yöneticisi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Güvenlik riskini koordine eder; müşteri bildirimi, koruma ve serbest bırakma şartlarını takip eder.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Proje / Mühendislik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Güvenlik ve mevzuat özelliklerini güncel teknik kaynaktan belirler; teknik değişiklik etkisini inceler.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Üretim / Satınalma / Lojistik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Kontrolleri, tedarik aktarımını, lot ayrımını ve etkilenen ürün hareketlerinin engellenmesini uygular.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Tüm çalışanlar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Şüpheli ürünü ayırır, ilgili işi güvenli biçimde durdurur ve amire / Kaliteye derhal bildirir.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2 Güvenlik özelliklerinin belirlenmesi</w:t>
      </w:r>
    </w:p>
    <w:p>
      <w:pPr>
        <w:pStyle w:val="ListBullet"/>
      </w:pPr>
      <w:r>
        <w:rPr>
          <w:rFonts w:ascii="Calibri" w:hAnsi="Calibri"/>
        </w:rPr>
        <w:t>Müşterinin onaylı resim / PIS listesi, ürün kullanım amacı, varış pazarı ve ilgili mevzuat kaynağı değerlendirilir. S güvenlik, R mevzuat ve P işlev karakteristikleri müşterinin tanım ve sembolleriyle korunur.</w:t>
      </w:r>
    </w:p>
    <w:p>
      <w:pPr>
        <w:pStyle w:val="ListBullet"/>
      </w:pPr>
      <w:r>
        <w:rPr>
          <w:rFonts w:ascii="Calibri" w:hAnsi="Calibri"/>
        </w:rPr>
        <w:t>Özel karakteristik listesinde ürün / parça, teknik resim revizyonu, karakteristik, sembol, limit / birim, proses adımı ve kontrol kaynağı bulunur. Gerekli değer müşteri kaynağında yoksa yetkili teknik açıklama alınır.</w:t>
      </w:r>
    </w:p>
    <w:p>
      <w:pPr>
        <w:pStyle w:val="ListBullet"/>
      </w:pPr>
      <w:r>
        <w:rPr>
          <w:rFonts w:ascii="Calibri" w:hAnsi="Calibri"/>
        </w:rPr>
        <w:t>Akış şeması, PFMEA, PIS, kontrol planı, iş talimatı, ambalaj ve etiketleme bağlantısı doğrulanır. Yeniden işleme, taşıma, ara stok, etiketleme ve alternatif çalışma akışları değerlendirmeye dahildir.</w:t>
      </w:r>
    </w:p>
    <w:p>
      <w:pPr>
        <w:pStyle w:val="Heading1"/>
      </w:pPr>
      <w:r>
        <w:rPr>
          <w:rFonts w:ascii="Calibri" w:hAnsi="Calibri"/>
        </w:rPr>
        <w:t>3 Önleyici kontroller</w:t>
      </w:r>
    </w:p>
    <w:p>
      <w:pPr>
        <w:pStyle w:val="ListBullet"/>
      </w:pPr>
      <w:r>
        <w:rPr>
          <w:rFonts w:ascii="Calibri" w:hAnsi="Calibri"/>
        </w:rPr>
        <w:t>Çapraz fonksiyonlu PFMEA ekibi hata nedenini somut tanımlar; önleme ve tespit yöntemini, yerini ve sıklığını kaydeder. Güvenlik / mevzuat etkisi yüksek risklerde faaliyet planı, sorumlu ve termin belirlenir.</w:t>
      </w:r>
    </w:p>
    <w:p>
      <w:pPr>
        <w:pStyle w:val="ListBullet"/>
      </w:pPr>
      <w:r>
        <w:rPr>
          <w:rFonts w:ascii="Calibri" w:hAnsi="Calibri"/>
        </w:rPr>
        <w:t>Yüksek risk kapanana kadar gerekli ek kontrol veya geçici koruma kontrol planına bağlanır. Olasılık / tespit puanı yalnız doğrulanmış kontrol değişikliği ve sonuçla yeniden değerlendirilir.</w:t>
      </w:r>
    </w:p>
    <w:p>
      <w:pPr>
        <w:pStyle w:val="ListBullet"/>
      </w:pPr>
      <w:r>
        <w:rPr>
          <w:rFonts w:ascii="Calibri" w:hAnsi="Calibri"/>
        </w:rPr>
        <w:t>İlgili personelin özel karakteristik, reaksiyon ve izlenebilirlik bilgisi görev öncesi doğrulanır. Tedarikçiye etkilenen şartlar ve değişiklik kuralları aktarılır.</w:t>
      </w:r>
    </w:p>
    <w:p>
      <w:pPr>
        <w:pStyle w:val="ListBullet"/>
      </w:pPr>
      <w:r>
        <w:rPr>
          <w:rFonts w:ascii="Calibri" w:hAnsi="Calibri"/>
        </w:rPr>
        <w:t>Onaysız malzeme, proses değişikliği, kontrol atlama veya yeniden işleme güvenlik kapsamındaki üründe uygulanmaz. Gerekli teknik / müşteri onayı alınır.</w:t>
      </w:r>
    </w:p>
    <w:p>
      <w:pPr>
        <w:pStyle w:val="Heading1"/>
      </w:pPr>
      <w:r>
        <w:rPr>
          <w:rFonts w:ascii="Calibri" w:hAnsi="Calibri"/>
        </w:rPr>
        <w:t>4 Şüphe veya uygunsuzlukta reaksiyon</w:t>
      </w:r>
    </w:p>
    <w:p>
      <w:pPr>
        <w:pStyle w:val="ListBullet"/>
      </w:pPr>
      <w:r>
        <w:rPr>
          <w:rFonts w:ascii="Calibri" w:hAnsi="Calibri"/>
        </w:rPr>
        <w:t>Çatlak / kırık, yanlış malzeme, eksik işlem, işlev kaybı, özel karakteristik sapması veya doğrulanmamış kontrol tespitinde ürün ayrılır ve Kaliteye derhal haber verilir.</w:t>
      </w:r>
    </w:p>
    <w:p>
      <w:pPr>
        <w:pStyle w:val="ListBullet"/>
      </w:pPr>
      <w:r>
        <w:rPr>
          <w:rFonts w:ascii="Calibri" w:hAnsi="Calibri"/>
        </w:rPr>
        <w:t>Son bilinen uygun noktadan itibaren hammadde, yarı mamul, bitmiş ürün, yoldaki ve müşterideki ürün kapsamı kayıtlarla belirlenir. Belirsiz lot uygun kabul edilmez.</w:t>
      </w:r>
    </w:p>
    <w:p>
      <w:pPr>
        <w:pStyle w:val="ListBullet"/>
      </w:pPr>
      <w:r>
        <w:rPr>
          <w:rFonts w:ascii="Calibri" w:hAnsi="Calibri"/>
        </w:rPr>
        <w:t>Gerekli üretim / sevkiyat engeli uygulanır. Müşteri bildirimi yetkili üzerinden müşteri şartındaki süre ve kanalla yapılır; doğrulanmış kapsam, koruma ve sonraki bilgi zamanı paylaşılır.</w:t>
      </w:r>
    </w:p>
    <w:p>
      <w:pPr>
        <w:pStyle w:val="ListBullet"/>
      </w:pPr>
      <w:r>
        <w:rPr>
          <w:rFonts w:ascii="Calibri" w:hAnsi="Calibri"/>
        </w:rPr>
        <w:t>Şikâyet, güvenlik olayı veya saha riski için kök neden ve düzeltici faaliyet yürütülür. İade / geri çağırma gereği müşteri ve yetkili karar mercileriyle yürürlükteki yükümlülüklere göre değerlendirilir.</w:t>
      </w:r>
    </w:p>
    <w:p>
      <w:pPr>
        <w:pStyle w:val="Heading1"/>
      </w:pPr>
      <w:r>
        <w:rPr>
          <w:rFonts w:ascii="Calibri" w:hAnsi="Calibri"/>
        </w:rPr>
        <w:t>5 Yeniden başlatma ve serbest bırakma</w:t>
      </w:r>
    </w:p>
    <w:p>
      <w:pPr>
        <w:pStyle w:val="ListBullet"/>
      </w:pPr>
      <w:r>
        <w:rPr>
          <w:rFonts w:ascii="Calibri" w:hAnsi="Calibri"/>
        </w:rPr>
        <w:t>Kalite; etkilenen kapsamın kontrol edildiğini, kabul ölçütünün karşılandığını, ölçüm ve kontrol sisteminin uygunluğunu ve temiz / kirli sınırını kanıtla doğrular.</w:t>
      </w:r>
    </w:p>
    <w:p>
      <w:pPr>
        <w:pStyle w:val="ListBullet"/>
      </w:pPr>
      <w:r>
        <w:rPr>
          <w:rFonts w:ascii="Calibri" w:hAnsi="Calibri"/>
        </w:rPr>
        <w:t>Gerekli müşteri onayı veya sapma izni kapsam, miktar, tarih ve izlenebilirlikle kayıtlı olmadan sevkiyat yapılmaz. İç onay resmî / müşteri onayının yerine geçmez.</w:t>
      </w:r>
    </w:p>
    <w:p>
      <w:pPr>
        <w:pStyle w:val="ListBullet"/>
      </w:pPr>
      <w:r>
        <w:rPr>
          <w:rFonts w:ascii="Calibri" w:hAnsi="Calibri"/>
        </w:rPr>
        <w:t>Faaliyet etkinliği; gerçek üretim / test kanıtı ve tekrar kontrolüyle doğrulanır. İlgili PFMEA, kontrol planı, talimat ve benzer ürünlerde yayılım tamamlanır.</w:t>
      </w:r>
    </w:p>
    <w:p>
      <w:pPr>
        <w:pStyle w:val="Heading1"/>
      </w:pPr>
      <w:r>
        <w:rPr>
          <w:rFonts w:ascii="Calibri" w:hAnsi="Calibri"/>
        </w:rPr>
        <w:t>6 Güvenlik olay kaydı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Alan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Tanım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Olay no / tarih, ürün / revizyon, lot, karakteristik ve şart kaynağı.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Kapsam / koruma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Etkilenen miktar / konum, son uygun nokta, durdurma / karantina, müşteri bildirimi.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Karar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Kontrol / test sonucu, teknik ve müşteri onayları, serbest bırakan / tarih.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Kalıcı önlem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Kök neden, faaliyet / sorumlu / termin, doğrulama kanıtı, belge ve yatay yayılım.</w:t>
            </w:r>
          </w:p>
        </w:tc>
      </w:tr>
    </w:tbl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EKG-PRJ-PRS-03 / EKG-PRJ-LST-03 / EKG-KLT-MTR-01 / EKG-KLT-PRS-14 / EKG-YNT-MTR-04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EKG-KLT-PRS-12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Ürün Güvenliği Prosedürü</dc:title>
  <dc:subject>EKG-KLT-PRS-12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