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Etik ve Davranış Kuralları</w:t>
      </w:r>
    </w:p>
    <w:p>
      <w:r>
        <w:rPr>
          <w:rFonts w:ascii="Calibri" w:hAnsi="Calibri"/>
        </w:rPr>
        <w:t>Çalışanların ve Ekol Glass adına hareket eden tarafların etik davranış kurallarını belirlemek.</w:t>
      </w:r>
    </w:p>
    <w:p>
      <w:pPr>
        <w:pStyle w:val="Heading1"/>
      </w:pPr>
      <w:r>
        <w:rPr>
          <w:rFonts w:ascii="Calibri" w:hAnsi="Calibri"/>
        </w:rPr>
        <w:t>1 Uygulama ve sorumluluk</w:t>
      </w:r>
    </w:p>
    <w:p>
      <w:pPr>
        <w:pStyle w:val="ListBullet"/>
      </w:pPr>
      <w:r>
        <w:rPr>
          <w:rFonts w:ascii="Calibri" w:hAnsi="Calibri"/>
        </w:rPr>
        <w:t>Kurallar tüm çalışanları, yöneticileri ve Ekol Glass adına iş yapan tarafları kapsar. Yöneticiler kuralları açıklar, uygulanmasını izler ve bildirilen konuların tarafsız incelenmesini sağlar.</w:t>
      </w:r>
    </w:p>
    <w:p>
      <w:pPr>
        <w:pStyle w:val="ListBullet"/>
      </w:pPr>
      <w:r>
        <w:rPr>
          <w:rFonts w:ascii="Calibri" w:hAnsi="Calibri"/>
        </w:rPr>
        <w:t>Çalışan işin güvenliği, ürün uygunluğu veya kaydın doğruluğu konusunda şüpheyi geciktirmeden bildirir. Ticari hedef veya termin baskısı kayıt değiştirmeye ve uygunsuz ürünü gizlemeye gerekçe olamaz.</w:t>
      </w:r>
    </w:p>
    <w:p>
      <w:pPr>
        <w:pStyle w:val="Heading1"/>
      </w:pPr>
      <w:r>
        <w:rPr>
          <w:rFonts w:ascii="Calibri" w:hAnsi="Calibri"/>
        </w:rPr>
        <w:t>2 Dürüstlük ve ticari ilişkiler</w:t>
      </w:r>
    </w:p>
    <w:p>
      <w:pPr>
        <w:pStyle w:val="ListBullet"/>
      </w:pPr>
      <w:r>
        <w:rPr>
          <w:rFonts w:ascii="Calibri" w:hAnsi="Calibri"/>
        </w:rPr>
        <w:t>Rüşvet, kolaylaştırma ödemesi, komisyon adı altında uygunsuz menfaat, çıkar karşılığı karar ve sahte belge yasaktır. Doğrudan veya aracı üzerinden yapılması kuralı değiştirmez.</w:t>
      </w:r>
    </w:p>
    <w:p>
      <w:pPr>
        <w:pStyle w:val="ListBullet"/>
      </w:pPr>
      <w:r>
        <w:rPr>
          <w:rFonts w:ascii="Calibri" w:hAnsi="Calibri"/>
        </w:rPr>
        <w:t>Karar bağımsızlığını etkileyebilecek hediye, ağırlama veya menfaat kabul edilmez ve teklif edilmez. Tereddütlü durumda işlem öncesinde Fabrika Yönetiminden yazılı değerlendirme alınır. Nakit ve nakit benzeri kişisel menfaat kabul edilmez.</w:t>
      </w:r>
    </w:p>
    <w:p>
      <w:pPr>
        <w:pStyle w:val="ListBullet"/>
      </w:pPr>
      <w:r>
        <w:rPr>
          <w:rFonts w:ascii="Calibri" w:hAnsi="Calibri"/>
        </w:rPr>
        <w:t>Akrabalık, kişisel yatırım, ek iş veya yakın ilişki nedeniyle doğabilecek çıkar çatışması ilgili karar öncesinde yazılı bildirilir. Çatışması olan kişi seçim ve onay kararına katılmaz.</w:t>
      </w:r>
    </w:p>
    <w:p>
      <w:pPr>
        <w:pStyle w:val="ListBullet"/>
      </w:pPr>
      <w:r>
        <w:rPr>
          <w:rFonts w:ascii="Calibri" w:hAnsi="Calibri"/>
        </w:rPr>
        <w:t>Rakiplerle fiyat, teklif, müşteri veya pazar paylaşımı hakkında mutabakat kurulmaz; ticari sır ve rekabet açısından hassas bilgi paylaşılmaz.</w:t>
      </w:r>
    </w:p>
    <w:p>
      <w:pPr>
        <w:pStyle w:val="Heading1"/>
      </w:pPr>
      <w:r>
        <w:rPr>
          <w:rFonts w:ascii="Calibri" w:hAnsi="Calibri"/>
        </w:rPr>
        <w:t>3 İnsan hakları ve çalışma ortamı</w:t>
      </w:r>
    </w:p>
    <w:p>
      <w:pPr>
        <w:pStyle w:val="ListBullet"/>
      </w:pPr>
      <w:r>
        <w:rPr>
          <w:rFonts w:ascii="Calibri" w:hAnsi="Calibri"/>
        </w:rPr>
        <w:t>Zorla çalıştırma, insan ticareti ve çocuk işçiliği kabul edilmez. Yaş, çalışma süresi, ücret ve istihdam koşulları yürürlükteki kurallara göre doğrulanır. Kimlik belgesine veya çalışanın serbestçe ayrılmasına engel olunmaz.</w:t>
      </w:r>
    </w:p>
    <w:p>
      <w:pPr>
        <w:pStyle w:val="ListBullet"/>
      </w:pPr>
      <w:r>
        <w:rPr>
          <w:rFonts w:ascii="Calibri" w:hAnsi="Calibri"/>
        </w:rPr>
        <w:t>İşe alım, ücret, eğitim ve görev kararları işin gereklerine ve yeterliliğe dayanır. Ayrımcılık, tehdit, şiddet, taciz ve aşağılayıcı davranışa izin verilmez.</w:t>
      </w:r>
    </w:p>
    <w:p>
      <w:pPr>
        <w:pStyle w:val="ListBullet"/>
      </w:pPr>
      <w:r>
        <w:rPr>
          <w:rFonts w:ascii="Calibri" w:hAnsi="Calibri"/>
        </w:rPr>
        <w:t>Çalışanların görüş bildirme, güvenlik sorununu iletme ve yasal temsil haklarına saygı gösterilir. Riskli işte eğitim, ekipman ve gerekli koruma sağlanmadan çalışma istenmez.</w:t>
      </w:r>
    </w:p>
    <w:p>
      <w:pPr>
        <w:pStyle w:val="Heading1"/>
      </w:pPr>
      <w:r>
        <w:rPr>
          <w:rFonts w:ascii="Calibri" w:hAnsi="Calibri"/>
        </w:rPr>
        <w:t>4 Bilgi kayıt ve şirket kaynakları</w:t>
      </w:r>
    </w:p>
    <w:p>
      <w:pPr>
        <w:pStyle w:val="ListBullet"/>
      </w:pPr>
      <w:r>
        <w:rPr>
          <w:rFonts w:ascii="Calibri" w:hAnsi="Calibri"/>
        </w:rPr>
        <w:t>Üretim, muayene, test, kalite, mali ve personel kayıtları doğru tutulur; gerçekleşmeyen işlem yapılmış, yapılmayan kontrol uygun veya alınmayan onay alınmış gösterilmez.</w:t>
      </w:r>
    </w:p>
    <w:p>
      <w:pPr>
        <w:pStyle w:val="ListBullet"/>
      </w:pPr>
      <w:r>
        <w:rPr>
          <w:rFonts w:ascii="Calibri" w:hAnsi="Calibri"/>
        </w:rPr>
        <w:t>Müşteri çizimi, numune, ürün, yazılım, kişisel veri ve ticari bilgi yalnız yetkili kişiyle ve iş amacıyla paylaşılır. Kişisel hesap, yetkisiz cihaz veya izinsiz bulut alanına aktarılmaz.</w:t>
      </w:r>
    </w:p>
    <w:p>
      <w:pPr>
        <w:pStyle w:val="ListBullet"/>
      </w:pPr>
      <w:r>
        <w:rPr>
          <w:rFonts w:ascii="Calibri" w:hAnsi="Calibri"/>
        </w:rPr>
        <w:t>Şirket varlıkları ve müşteri mülkiyeti yetkili amaç için kullanılır. Kayıp, hasar veya yetkisiz erişim tespitinde koruma ve bildirim işlemi başlatılır.</w:t>
      </w:r>
    </w:p>
    <w:p>
      <w:pPr>
        <w:pStyle w:val="Heading1"/>
      </w:pPr>
      <w:r>
        <w:rPr>
          <w:rFonts w:ascii="Calibri" w:hAnsi="Calibri"/>
        </w:rPr>
        <w:t>5 Bildirim ve inceleme</w:t>
      </w:r>
    </w:p>
    <w:p>
      <w:pPr>
        <w:pStyle w:val="ListBullet"/>
      </w:pPr>
      <w:r>
        <w:rPr>
          <w:rFonts w:ascii="Calibri" w:hAnsi="Calibri"/>
        </w:rPr>
        <w:t>Bildirim doğrudan amire, İnsan Kaynakları Sorumlusuna veya Fabrika Yönetimine sözlü ya da yazılı yapılabilir. Bildirilen kişi bu kanalda görevliyse diğer kanala doğrudan başvurulur.</w:t>
      </w:r>
    </w:p>
    <w:p>
      <w:pPr>
        <w:pStyle w:val="ListBullet"/>
      </w:pPr>
      <w:r>
        <w:rPr>
          <w:rFonts w:ascii="Calibri" w:hAnsi="Calibri"/>
        </w:rPr>
        <w:t>İnsan Kaynakları bildirime kayıt numarası verir; olay, tarih, ilgili kapsam, ilk koruma ve inceleme sorumlusu kayıt altına alınır. Bilgi yalnız inceleme için gerekli kişilerle paylaşılır.</w:t>
      </w:r>
    </w:p>
    <w:p>
      <w:pPr>
        <w:pStyle w:val="ListBullet"/>
      </w:pPr>
      <w:r>
        <w:rPr>
          <w:rFonts w:ascii="Calibri" w:hAnsi="Calibri"/>
        </w:rPr>
        <w:t>İyi niyetli bildirim, bilgi verme veya incelemeye katılma nedeniyle misilleme yapılmaz. Kasıtlı olarak yanlış bilgi üretme ayrı değerlendirilir.</w:t>
      </w:r>
    </w:p>
    <w:p>
      <w:pPr>
        <w:pStyle w:val="ListBullet"/>
      </w:pPr>
      <w:r>
        <w:rPr>
          <w:rFonts w:ascii="Calibri" w:hAnsi="Calibri"/>
        </w:rPr>
        <w:t>İncelemeyi çıkar çatışması bulunmayan yetkili yürütür. Kanıtlar korunur; tarafların açıklaması alınır. Sonuç, düzeltici faaliyet, sorumlu ve kapanış kaydedilir. Gizlilik gerekleri gözetilerek bildirim sahibine geri dönüş yapılır.</w:t>
      </w:r>
    </w:p>
    <w:p>
      <w:pPr>
        <w:pStyle w:val="Heading1"/>
      </w:pPr>
      <w:r>
        <w:rPr>
          <w:rFonts w:ascii="Calibri" w:hAnsi="Calibri"/>
        </w:rPr>
        <w:t>6 Duyuru ve takip</w:t>
      </w:r>
    </w:p>
    <w:p>
      <w:r>
        <w:rPr>
          <w:rFonts w:ascii="Calibri" w:hAnsi="Calibri"/>
        </w:rPr>
        <w:t>Kurallar işe girişte ve ilgili değişikliklerde personele tebliğ edilir. Tedarikçilere sözleşme / gereklilik aktarımı içinde bildirilir. İhlal iddiaları, alınan önlemler ve tekrar durumu yönetimce gözden geçirilir; uygulanacak işlem mevcut şirket düzeni ve yürürlükteki kurallarla belirlenir.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EKG-YNT-LST-08 / EKG-YNT-PRS-06 / EKG-STN-STD-01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EKG-YNT-ETK-01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EKG-YNT-ETK-01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Etik ve Davranış Kuralları</dc:title>
  <dc:subject>EKG-YNT-ETK-01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