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Müşteri Mülkiyeti Ürün, Çizim, Numune ve Verilerin Korunması Prosedürü</w:t>
      </w:r>
    </w:p>
    <w:p>
      <w:pPr>
        <w:pStyle w:val="Title"/>
      </w:pPr>
      <w:r>
        <w:rPr>
          <w:rFonts w:ascii="Calibri" w:hAnsi="Calibri"/>
        </w:rPr>
        <w:t>Müşteri Mülkiyeti Ürün Çizim Numune ve Verilerin Korunması Prosedürü</w:t>
      </w:r>
    </w:p>
    <w:p>
      <w:r>
        <w:rPr>
          <w:rFonts w:ascii="Calibri" w:hAnsi="Calibri"/>
        </w:rPr>
        <w:t>Müşteriye ait ürün, takım, çizim, numune ve verilerin kimliğini, bütünlüğünü ve yetkili kullanımını korumak.</w:t>
      </w:r>
    </w:p>
    <w:p>
      <w:pPr>
        <w:pStyle w:val="Heading1"/>
      </w:pPr>
      <w:r>
        <w:rPr>
          <w:rFonts w:ascii="Calibri" w:hAnsi="Calibri"/>
        </w:rPr>
        <w:t>1 Kapsam ve sorumlular</w:t>
      </w:r>
    </w:p>
    <w:p>
      <w:pPr>
        <w:pStyle w:val="ListBullet"/>
      </w:pPr>
      <w:r>
        <w:rPr>
          <w:rFonts w:ascii="Calibri" w:hAnsi="Calibri"/>
        </w:rPr>
        <w:t>Müşterinin sağladığı veya mülkiyeti müşteriye ait ürün / malzeme, kasa, takım / fikstür, ölçüm aparatı, çizim, yazılım, numune ve elektronik veriler kapsamdadır.</w:t>
      </w:r>
    </w:p>
    <w:p>
      <w:pPr>
        <w:pStyle w:val="ListBullet"/>
      </w:pPr>
      <w:r>
        <w:rPr>
          <w:rFonts w:ascii="Calibri" w:hAnsi="Calibri"/>
        </w:rPr>
        <w:t>Kabul eden birim varlığı kaydeder ve ilk durumu doğrular. Kullanıcı birim uygun kullanım ve günlük korumadan; Bakım takım geçmişinden; Kalite teknik doküman / numuneden; BT elektronik erişim ve yedekten sorumludur.</w:t>
      </w:r>
    </w:p>
    <w:p>
      <w:pPr>
        <w:pStyle w:val="ListBullet"/>
      </w:pPr>
      <w:r>
        <w:rPr>
          <w:rFonts w:ascii="Calibri" w:hAnsi="Calibri"/>
        </w:rPr>
        <w:t>Mülkiyet ve kullanım şartı sözleşme / siparişle doğrulanır. Ekol iç kodu, müşterinin mülkiyet numarası yerine geçmez.</w:t>
      </w:r>
    </w:p>
    <w:p>
      <w:pPr>
        <w:pStyle w:val="Heading1"/>
      </w:pPr>
      <w:r>
        <w:rPr>
          <w:rFonts w:ascii="Calibri" w:hAnsi="Calibri"/>
        </w:rPr>
        <w:t>2 Teslim alma ve tanımlama</w:t>
      </w:r>
    </w:p>
    <w:p>
      <w:pPr>
        <w:pStyle w:val="ListBullet"/>
      </w:pPr>
      <w:r>
        <w:rPr>
          <w:rFonts w:ascii="Calibri" w:hAnsi="Calibri"/>
        </w:rPr>
        <w:t>Müşteri, mülkiyet / sipariş numarası, tanım, seri / parça no, miktar, teslim tarihi, revizyon, ilk durum, sorumlu ve konum mülkiyet listesine kaydedilir. Fiziksel teslimde hasar ve eksik kontrolü yapılır.</w:t>
      </w:r>
    </w:p>
    <w:p>
      <w:pPr>
        <w:pStyle w:val="ListBullet"/>
      </w:pPr>
      <w:r>
        <w:rPr>
          <w:rFonts w:ascii="Calibri" w:hAnsi="Calibri"/>
        </w:rPr>
        <w:t>Takım / fikstür üzerinde müşteri mülkiyet unvanı, müşteri takım numarası ve gerekli değişiklik seviyesi dayanıklı, güvenli bir yöntemle belirtilir. Etiket metni ve sabitleme yöntemi müşterinin güncel şartına göre doğrulanır.</w:t>
      </w:r>
    </w:p>
    <w:p>
      <w:pPr>
        <w:pStyle w:val="ListBullet"/>
      </w:pPr>
      <w:r>
        <w:rPr>
          <w:rFonts w:ascii="Calibri" w:hAnsi="Calibri"/>
        </w:rPr>
        <w:t>Numuneler kullanım amacı, parça / revizyon, onay kaynağı, geçerlilik ve saklama yeriyle tanımlanır. Tanımsız veya geçerliliği belirsiz numune kabul referansı yapılmaz.</w:t>
      </w:r>
    </w:p>
    <w:p>
      <w:pPr>
        <w:pStyle w:val="Heading1"/>
      </w:pPr>
      <w:r>
        <w:rPr>
          <w:rFonts w:ascii="Calibri" w:hAnsi="Calibri"/>
        </w:rPr>
        <w:t>3 Koruma ve kullanım</w:t>
      </w:r>
    </w:p>
    <w:p>
      <w:pPr>
        <w:pStyle w:val="ListBullet"/>
      </w:pPr>
      <w:r>
        <w:rPr>
          <w:rFonts w:ascii="Calibri" w:hAnsi="Calibri"/>
        </w:rPr>
        <w:t>Fiziksel varlık belirlenen, temiz ve hasarı önleyen konumda tutulur. Kullanılabilir, onarımda ve kullanım dışı durumu görünür biçimde ayrılır; yanlış veya yetkisiz kullanım önlenir.</w:t>
      </w:r>
    </w:p>
    <w:p>
      <w:pPr>
        <w:pStyle w:val="ListBullet"/>
      </w:pPr>
      <w:r>
        <w:rPr>
          <w:rFonts w:ascii="Calibri" w:hAnsi="Calibri"/>
        </w:rPr>
        <w:t>Takım kullanımı, bakım, arıza, onarım, çevrim / ömür takibi ve yer değişikliği müşterinin numarasıyla geçmiş kaydına bağlanır. Bakım aralığı teknik şart ve kullanım koşulundan alınır.</w:t>
      </w:r>
    </w:p>
    <w:p>
      <w:pPr>
        <w:pStyle w:val="ListBullet"/>
      </w:pPr>
      <w:r>
        <w:rPr>
          <w:rFonts w:ascii="Calibri" w:hAnsi="Calibri"/>
        </w:rPr>
        <w:t>Çizim ve veriye görev gereği yetkili kişiler erişir. Güncel sürüm kontrolü yapılır; dış paylaşım, kişisel cihaza kopyalama, fotoğraflama ve alt tedarikçiye aktarım müşteri gizlilik şartı ve yetkiye tabidir.</w:t>
      </w:r>
    </w:p>
    <w:p>
      <w:pPr>
        <w:pStyle w:val="ListBullet"/>
      </w:pPr>
      <w:r>
        <w:rPr>
          <w:rFonts w:ascii="Calibri" w:hAnsi="Calibri"/>
        </w:rPr>
        <w:t>Elektronik verilerin erişimi, yedeklenmesi ve gerektiğinde geri yüklenmesi BT düzeninde korunur. Dosya yolunun veya erişim yetkisinin değişmesi kayıt altına alınır.</w:t>
      </w:r>
    </w:p>
    <w:p>
      <w:pPr>
        <w:pStyle w:val="Heading1"/>
      </w:pPr>
      <w:r>
        <w:rPr>
          <w:rFonts w:ascii="Calibri" w:hAnsi="Calibri"/>
        </w:rPr>
        <w:t>4 Dış kaynak kayıp ve hasar</w:t>
      </w:r>
    </w:p>
    <w:p>
      <w:pPr>
        <w:pStyle w:val="ListBullet"/>
      </w:pPr>
      <w:r>
        <w:rPr>
          <w:rFonts w:ascii="Calibri" w:hAnsi="Calibri"/>
        </w:rPr>
        <w:t>Alt tedarikçiye çıkan müşteri varlığı için onay gereği, varlık numarası, konum, kullanım amacı, teslim alan ve iade koşulu kayıtlı olur. Ekol Glass takip sorumluluğunu sürdürür.</w:t>
      </w:r>
    </w:p>
    <w:p>
      <w:pPr>
        <w:pStyle w:val="ListBullet"/>
      </w:pPr>
      <w:r>
        <w:rPr>
          <w:rFonts w:ascii="Calibri" w:hAnsi="Calibri"/>
        </w:rPr>
        <w:t>Kayıp, hasar, uygunsuz kullanım, yetkisiz erişim veya veri ifşasında kullanım / erişim güvenli biçimde engellenir; mevcut kanıt korunur ve Kalite / ilgili yönetici derhal bilgilendirilir.</w:t>
      </w:r>
    </w:p>
    <w:p>
      <w:pPr>
        <w:pStyle w:val="ListBullet"/>
      </w:pPr>
      <w:r>
        <w:rPr>
          <w:rFonts w:ascii="Calibri" w:hAnsi="Calibri"/>
        </w:rPr>
        <w:t>Müşteri yetkili kanaldan olay, varlık kapsamı, etkisi ve koruma bilgisiyle haberdar edilir. Onarım, değiştirme veya kullanım devamı için gerekli müşteri kararı kayda alınır.</w:t>
      </w:r>
    </w:p>
    <w:p>
      <w:pPr>
        <w:pStyle w:val="Heading1"/>
      </w:pPr>
      <w:r>
        <w:rPr>
          <w:rFonts w:ascii="Calibri" w:hAnsi="Calibri"/>
        </w:rPr>
        <w:t>5 Sayım iade ve elden çıkarma</w:t>
      </w:r>
    </w:p>
    <w:p>
      <w:pPr>
        <w:pStyle w:val="ListBullet"/>
      </w:pPr>
      <w:r>
        <w:rPr>
          <w:rFonts w:ascii="Calibri" w:hAnsi="Calibri"/>
        </w:rPr>
        <w:t>Varlık listesi fiziksel konum, durum ve müşteri listesiyle en az yılda bir ve yer / sorumluluk değişikliğinde karşılaştırılır. Müşteri daha sık sayım istiyorsa bu sıklık uygulanır. Uyumsuzluklar sorumlu ve terminli faaliyete bağlanır.</w:t>
      </w:r>
    </w:p>
    <w:p>
      <w:pPr>
        <w:pStyle w:val="ListBullet"/>
      </w:pPr>
      <w:r>
        <w:rPr>
          <w:rFonts w:ascii="Calibri" w:hAnsi="Calibri"/>
        </w:rPr>
        <w:t>Seri üretim sona erdiğinde saklama, bakım, iade veya hurda kararı müşteri şartına göre alınır. Müşteri onayı olmadan varlık elden çıkarılmaz veya üçüncü kişiye devredilmez.</w:t>
      </w:r>
    </w:p>
    <w:p>
      <w:pPr>
        <w:pStyle w:val="ListBullet"/>
      </w:pPr>
      <w:r>
        <w:rPr>
          <w:rFonts w:ascii="Calibri" w:hAnsi="Calibri"/>
        </w:rPr>
        <w:t>İadede kimlik, miktar, durum, ekler ve teslim teyidi; veride ise iade / silme kapsamı ve yetkili teyit kayıtlı olur. İzlenebilir geçmiş ve sözleşmesel saklama şartı korunur.</w:t>
      </w:r>
    </w:p>
    <w:p>
      <w:pPr>
        <w:pStyle w:val="Heading1"/>
      </w:pPr>
      <w:r>
        <w:rPr>
          <w:rFonts w:ascii="Calibri" w:hAnsi="Calibri"/>
        </w:rPr>
        <w:t>6 Kayıt alanları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7213"/>
      </w:tblGrid>
      <w:tr>
        <w:trPr>
          <w:tblHeader/>
          <w:cantSplit/>
        </w:trP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Kayıt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Asgari alanlar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Mülkiyet listesi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Müşteri, sipariş / mülkiyet no, tanım / miktar / revizyon, konum, sorumlu, durum.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Takım geçmişi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Müşteri takım no, kullanım / ömür, bakım / arıza, işlem tarihi, yapan, doğrulama / onay.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Olay / hareket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Varlık no, tarih, teslim eden / alan, durum / hasar, bildirim, müşteri kararı, kapanış.</w:t>
            </w:r>
          </w:p>
        </w:tc>
      </w:tr>
    </w:tbl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EKG-YNT-TLM-02 / EKG-YNT-MTR-04 / EKG-YNT-ETK-01 / EKG-YNT-PRS-05</w:t>
      </w:r>
    </w:p>
    <w:p>
      <w:pPr>
        <w:pStyle w:val="Heading1"/>
      </w:pPr>
      <w:r>
        <w:rPr>
          <w:rFonts w:ascii="Calibri" w:hAnsi="Calibri"/>
        </w:rPr>
        <w:t>Belge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Hazırlayan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eden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 tarihi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EKG-YNT-PRS-06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EKG-YNT-PRS-06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Müşteri Mülkiyeti Ürün, Çizim, Numune ve Verilerin Korunması Prosedürü</dc:title>
  <dc:subject>EKG-YNT-PRS-06</dc:subject>
  <dc:creator>Ekol Glass</dc:creator>
  <cp:keywords/>
  <dc:description/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