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EKGKimlik.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Taşıma, Depolama ve Kullanım Talimatı (müşteriye yönelik)</w:t>
      </w:r>
    </w:p>
    <w:p>
      <w:pPr>
        <w:pStyle w:val="Title"/>
      </w:pPr>
      <w:r>
        <w:rPr>
          <w:rFonts w:ascii="Calibri" w:hAnsi="Calibri"/>
        </w:rPr>
        <w:t>Taşıma Depolama ve Kullanım Talimatı müşteriye yönelik</w:t>
      </w:r>
    </w:p>
    <w:p>
      <w:r>
        <w:rPr>
          <w:rFonts w:ascii="Calibri" w:hAnsi="Calibri"/>
        </w:rPr>
        <w:t>Ekol Glass cam ve çerçeveli cam ürünlerinin müşteride hasarsız teslim alınması, taşınması, depolanması ve kullanılması kurallarını tanımlamak.</w:t>
      </w:r>
    </w:p>
    <w:p>
      <w:pPr>
        <w:pStyle w:val="Heading1"/>
      </w:pPr>
      <w:r>
        <w:rPr>
          <w:rFonts w:ascii="Calibri" w:hAnsi="Calibri"/>
        </w:rPr>
        <w:t>1 Ürün bilgisi ve geçerli sınırlar</w:t>
      </w:r>
    </w:p>
    <w:tbl>
      <w:tblPr>
        <w:tblW w:type="auto" w:w="0"/>
        <w:jc w:val="center"/>
        <w:tblLayout w:type="fixed"/>
        <w:tblLook w:firstColumn="1" w:firstRow="1" w:lastColumn="0" w:lastRow="0" w:noHBand="0" w:noVBand="1" w:val="04A0"/>
      </w:tblPr>
      <w:tblGrid>
        <w:gridCol w:w="2765"/>
        <w:gridCol w:w="7213"/>
      </w:tblGrid>
      <w:tr>
        <w:trPr>
          <w:tblHeader/>
          <w:cantSplit/>
        </w:trPr>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Ürüne özgü bilgi</w:t>
            </w:r>
          </w:p>
        </w:tc>
        <w:tc>
          <w:tcPr>
            <w:tcW w:type="dxa" w:w="4989"/>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Onaylı kaynak / değer</w:t>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Müşteri / ürün / parça no ve revizyon</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Ambalaj / kasa kodu ve yükleme yönü</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Kasa kapasitesi ve istif sınırı</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Taşıma / kaldırma ekipmanı ve bağlantı noktası</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r>
          </w:p>
        </w:tc>
      </w:tr>
      <w:tr>
        <w:trPr>
          <w:cantSplit/>
        </w:trPr>
        <w:tc>
          <w:tcPr>
            <w:tcW w:type="dxa" w:w="2765"/>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t>Sıcaklık / nem / çevre koşulu ve kaynak</w:t>
            </w:r>
          </w:p>
        </w:tc>
        <w:tc>
          <w:tcPr>
            <w:tcW w:type="dxa" w:w="7213"/>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r>
      <w:tr>
        <w:trPr>
          <w:cantSplit/>
        </w:trPr>
        <w:tc>
          <w:tcPr>
            <w:tcW w:type="dxa" w:w="2765"/>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t>Montaj / temizlik şartı ve kaynak</w:t>
            </w:r>
          </w:p>
        </w:tc>
        <w:tc>
          <w:tcPr>
            <w:tcW w:type="dxa" w:w="7213"/>
            <w:tcBorders>
              <w:top w:val="single" w:sz="4" w:color="D9D9D9"/>
              <w:left w:val="single" w:sz="4" w:color="D9D9D9"/>
              <w:bottom w:val="single" w:sz="4" w:color="D9D9D9"/>
              <w:right w:val="single" w:sz="4" w:color="D9D9D9"/>
            </w:tcBorders>
            <w:shd w:fill="F3F5F6"/>
            <w:tcMar>
              <w:top w:w="90" w:type="dxa"/>
              <w:left w:w="90" w:type="dxa"/>
              <w:bottom w:w="90" w:type="dxa"/>
              <w:right w:w="90" w:type="dxa"/>
            </w:tcMar>
            <w:vAlign w:val="center"/>
          </w:tcPr>
          <w:p>
            <w:pPr>
              <w:keepNext w:val="0"/>
              <w:spacing w:after="40" w:before="20" w:line="240" w:lineRule="auto"/>
            </w:pPr>
            <w:r>
              <w:rPr>
                <w:rFonts w:ascii="Calibri" w:hAnsi="Calibri"/>
                <w:sz w:val="19"/>
              </w:rPr>
            </w:r>
          </w:p>
        </w:tc>
      </w:tr>
    </w:tbl>
    <w:p>
      <w:pPr>
        <w:pStyle w:val="Heading1"/>
      </w:pPr>
      <w:r>
        <w:rPr>
          <w:rFonts w:ascii="Calibri" w:hAnsi="Calibri"/>
        </w:rPr>
        <w:t>2 Teslim alma</w:t>
      </w:r>
    </w:p>
    <w:p>
      <w:pPr>
        <w:pStyle w:val="ListBullet"/>
      </w:pPr>
      <w:r>
        <w:rPr>
          <w:rFonts w:ascii="Calibri" w:hAnsi="Calibri"/>
        </w:rPr>
        <w:t>İrsaliye, ürün / parça, revizyon, adet ve lot etiketini karşılaştırın. Kasa / ambalaj bütünlüğü, bağlar, devrilme veya darbe izi ile görünür ürün hasarını kontrol edin.</w:t>
      </w:r>
    </w:p>
    <w:p>
      <w:pPr>
        <w:pStyle w:val="ListBullet"/>
      </w:pPr>
      <w:r>
        <w:rPr>
          <w:rFonts w:ascii="Calibri" w:hAnsi="Calibri"/>
        </w:rPr>
        <w:t>Hasar veya kimlik farkını teslim kaydına yazın; ürün ve ambalaj durumunu fotoğrafla kaydedin. Şüpheli ürünü ayrı alana alın ve Ekol Glass müşteri temas noktasına bildirin.</w:t>
      </w:r>
    </w:p>
    <w:p>
      <w:pPr>
        <w:pStyle w:val="ListBullet"/>
      </w:pPr>
      <w:r>
        <w:rPr>
          <w:rFonts w:ascii="Calibri" w:hAnsi="Calibri"/>
        </w:rPr>
        <w:t>Görünür hasar bulunmaması ürüne ait teknik kabul kontrolünün yerine geçmez. Ambalajı ve lot etiketini inceleme tamamlanana kadar koruyun.</w:t>
      </w:r>
    </w:p>
    <w:p>
      <w:pPr>
        <w:pStyle w:val="Heading1"/>
      </w:pPr>
      <w:r>
        <w:rPr>
          <w:rFonts w:ascii="Calibri" w:hAnsi="Calibri"/>
        </w:rPr>
        <w:t>3 Taşıma ve ambalaj açma</w:t>
      </w:r>
    </w:p>
    <w:p>
      <w:pPr>
        <w:pStyle w:val="ListBullet"/>
      </w:pPr>
      <w:r>
        <w:rPr>
          <w:rFonts w:ascii="Calibri" w:hAnsi="Calibri"/>
        </w:rPr>
        <w:t>Cam ve çerçeveli ürünleri yalnız eğitimli kişiler, işin riskine uygun kişisel koruma ve uygun taşıma ekipmanıyla taşımalıdır. Keskin kenar ve ezilme bölgelerinden elleri koruyun.</w:t>
      </w:r>
    </w:p>
    <w:p>
      <w:pPr>
        <w:pStyle w:val="ListBullet"/>
      </w:pPr>
      <w:r>
        <w:rPr>
          <w:rFonts w:ascii="Calibri" w:hAnsi="Calibri"/>
        </w:rPr>
        <w:t>Kasa, sapan, taşıyıcı ve varsa vakum aparatının sağlamlığını ve ürün / yük için uygun kapasitesini kullanımdan önce kontrol edin. Tanımsız veya hasarlı ekipman kullanmayın.</w:t>
      </w:r>
    </w:p>
    <w:p>
      <w:pPr>
        <w:pStyle w:val="ListBullet"/>
      </w:pPr>
      <w:r>
        <w:rPr>
          <w:rFonts w:ascii="Calibri" w:hAnsi="Calibri"/>
        </w:rPr>
        <w:t>Ürün için belirlenen taşıma yönünü ve destek yüzeylerini koruyun. Camı sürüklemeyin; kenar / köşeye darbe vermeyin. Çerçeve veya aksesuarı onaylı olmayan kaldırma noktası olarak kullanmayın.</w:t>
      </w:r>
    </w:p>
    <w:p>
      <w:pPr>
        <w:pStyle w:val="ListBullet"/>
      </w:pPr>
      <w:r>
        <w:rPr>
          <w:rFonts w:ascii="Calibri" w:hAnsi="Calibri"/>
        </w:rPr>
        <w:t>Kasayı güvenli ve kararlı zemine yerleştirmeden bağları açmayın. Ürünü devrilmeye karşı desteklemeden ayırıcı / sabitleyicileri çıkarmayın. Askıdaki yükün altında veya devrilme hattında durmayın.</w:t>
      </w:r>
    </w:p>
    <w:p>
      <w:pPr>
        <w:pStyle w:val="Heading1"/>
      </w:pPr>
      <w:r>
        <w:rPr>
          <w:rFonts w:ascii="Calibri" w:hAnsi="Calibri"/>
        </w:rPr>
        <w:t>4 Depolama</w:t>
      </w:r>
    </w:p>
    <w:p>
      <w:pPr>
        <w:pStyle w:val="ListBullet"/>
      </w:pPr>
      <w:r>
        <w:rPr>
          <w:rFonts w:ascii="Calibri" w:hAnsi="Calibri"/>
        </w:rPr>
        <w:t>Ürünü temiz, korunaklı ve sabit destek üzerinde; toz, aşındırıcı parçacık, darbeye neden olan hareketler ve kimyasal bulaşmadan korunacak şekilde tutun.</w:t>
      </w:r>
    </w:p>
    <w:p>
      <w:pPr>
        <w:pStyle w:val="ListBullet"/>
      </w:pPr>
      <w:r>
        <w:rPr>
          <w:rFonts w:ascii="Calibri" w:hAnsi="Calibri"/>
        </w:rPr>
        <w:t>Kasa kapasitesi, istif adedi, destek aralığı ve çevre koşulları onaylı ürün / ambalaj şartına göre uygulanır. Tanımlı limit yoksa üst üste istifleme veya yeni depolama düzeni için Ekol Glass teknik teyidini alın.</w:t>
      </w:r>
    </w:p>
    <w:p>
      <w:pPr>
        <w:pStyle w:val="ListBullet"/>
      </w:pPr>
      <w:r>
        <w:rPr>
          <w:rFonts w:ascii="Calibri" w:hAnsi="Calibri"/>
        </w:rPr>
        <w:t>Cam yüzeylerini ve boyalı profilleri uygun ayırıcıyla koruyun. Etiketler okunur kalsın; farklı parça / revizyon / lot karışmasın. Şüpheli ve uygun ürünler ayrı tutulmalıdır.</w:t>
      </w:r>
    </w:p>
    <w:p>
      <w:pPr>
        <w:pStyle w:val="Heading1"/>
      </w:pPr>
      <w:r>
        <w:rPr>
          <w:rFonts w:ascii="Calibri" w:hAnsi="Calibri"/>
        </w:rPr>
        <w:t>5 Montaj ve kullanım</w:t>
      </w:r>
    </w:p>
    <w:p>
      <w:pPr>
        <w:pStyle w:val="ListBullet"/>
      </w:pPr>
      <w:r>
        <w:rPr>
          <w:rFonts w:ascii="Calibri" w:hAnsi="Calibri"/>
        </w:rPr>
        <w:t>Montaj öncesi parça / revizyonu, yüzey ve kenar bütünlüğünü kontrol edin. Çatlak, kırık, gevşek parça veya işlev sorunu görülen ürünü kullanmayın; ayırıp bildirin.</w:t>
      </w:r>
    </w:p>
    <w:p>
      <w:pPr>
        <w:pStyle w:val="ListBullet"/>
      </w:pPr>
      <w:r>
        <w:rPr>
          <w:rFonts w:ascii="Calibri" w:hAnsi="Calibri"/>
        </w:rPr>
        <w:t>Onaylı montaj resmi, destek / sabitleme yöntemi, varsa yapıştırıcı ve sıkma şartını uygulayın. Ürüne onaysız delme, kesme, taşlama, ısıtma, kaynak veya kimyasal işlem yapmayın.</w:t>
      </w:r>
    </w:p>
    <w:p>
      <w:pPr>
        <w:pStyle w:val="ListBullet"/>
      </w:pPr>
      <w:r>
        <w:rPr>
          <w:rFonts w:ascii="Calibri" w:hAnsi="Calibri"/>
        </w:rPr>
        <w:t>Montajda cam ile sert yüzeyin doğrudan temasını, zorlama ve noktasal yüklemeyi önleyin. Tahliye / drenaj deliklerini, hareketli parçaları ve contaları montaj şartına göre açık ve işlevsel tutun.</w:t>
      </w:r>
    </w:p>
    <w:p>
      <w:pPr>
        <w:pStyle w:val="ListBullet"/>
      </w:pPr>
      <w:r>
        <w:rPr>
          <w:rFonts w:ascii="Calibri" w:hAnsi="Calibri"/>
        </w:rPr>
        <w:t>Temizlik için ürüne uygunluğu doğrulanmış malzeme kullanın. Kuru aşındırıcı, metal kazıyıcı ve yüzey / boya / contaya zarar verebilecek kimyasal kullanmayın.</w:t>
      </w:r>
    </w:p>
    <w:p>
      <w:pPr>
        <w:pStyle w:val="Heading1"/>
      </w:pPr>
      <w:r>
        <w:rPr>
          <w:rFonts w:ascii="Calibri" w:hAnsi="Calibri"/>
        </w:rPr>
        <w:t>6 Bildirim</w:t>
      </w:r>
    </w:p>
    <w:p>
      <w:r>
        <w:rPr>
          <w:rFonts w:ascii="Calibri" w:hAnsi="Calibri"/>
        </w:rPr>
        <w:t>Uygunsuzlukta müşteri / teslimat, parça / lot, adet, tespit koşulu, fotoğraf ve mevcut ambalaj bilgisini Ekol Glass müşteri temas noktasına iletin. Üründe incelemeyi etkileyecek işlem veya elden çıkarma öncesinde yazılı yönlendirme alın. Ürün bilgileri ve sınırları ilgili onaylı teknik kaynaktan tamamlanır; bu talimat ürün tasarım limitini değiştirmez.</w:t>
      </w:r>
    </w:p>
    <w:p>
      <w:pPr>
        <w:pStyle w:val="Heading1"/>
      </w:pPr>
      <w:r>
        <w:rPr>
          <w:rFonts w:ascii="Calibri" w:hAnsi="Calibri"/>
        </w:rPr>
        <w:t>İlgili kayıtlar</w:t>
      </w:r>
    </w:p>
    <w:p>
      <w:r>
        <w:rPr>
          <w:rFonts w:ascii="Calibri" w:hAnsi="Calibri"/>
        </w:rPr>
        <w:t>EKG-KLT-GAR-01 / EKG-KLT-PRS-12 / EKG-YNT-MTR-04</w:t>
      </w:r>
    </w:p>
    <w:p>
      <w:pPr>
        <w:pStyle w:val="Heading1"/>
      </w:pPr>
      <w:r>
        <w:rPr>
          <w:rFonts w:ascii="Calibri" w:hAnsi="Calibri"/>
        </w:rPr>
        <w:t>Belge onayı</w:t>
      </w:r>
    </w:p>
    <w:tbl>
      <w:tblPr>
        <w:tblW w:type="auto" w:w="0"/>
        <w:jc w:val="center"/>
        <w:tblLayout w:type="fixed"/>
        <w:tblLook w:firstColumn="1" w:firstRow="1" w:lastColumn="0" w:lastRow="0" w:noHBand="0" w:noVBand="1" w:val="04A0"/>
      </w:tblPr>
      <w:tblGrid>
        <w:gridCol w:w="2494"/>
        <w:gridCol w:w="2494"/>
        <w:gridCol w:w="2494"/>
        <w:gridCol w:w="2494"/>
      </w:tblGrid>
      <w:tr>
        <w:trPr>
          <w:tblHeader/>
          <w:cantSplit/>
        </w:trPr>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Hazırlayan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Kontrol eden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Onaylayan</w:t>
            </w:r>
          </w:p>
        </w:tc>
        <w:tc>
          <w:tcPr>
            <w:tcW w:type="dxa" w:w="2494"/>
            <w:tcBorders>
              <w:top w:val="single" w:sz="4" w:color="D9D9D9"/>
              <w:left w:val="single" w:sz="4" w:color="D9D9D9"/>
              <w:bottom w:val="single" w:sz="4" w:color="D9D9D9"/>
              <w:right w:val="single" w:sz="4" w:color="D9D9D9"/>
            </w:tcBorders>
            <w:shd w:fill="1C4358"/>
            <w:tcMar>
              <w:top w:w="90" w:type="dxa"/>
              <w:left w:w="90" w:type="dxa"/>
              <w:bottom w:w="90" w:type="dxa"/>
              <w:right w:w="90" w:type="dxa"/>
            </w:tcMar>
            <w:vAlign w:val="center"/>
          </w:tcPr>
          <w:p>
            <w:pPr>
              <w:keepNext w:val="0"/>
              <w:spacing w:after="40" w:before="20" w:line="240" w:lineRule="auto"/>
            </w:pPr>
            <w:r>
              <w:rPr>
                <w:rFonts w:ascii="Calibri" w:hAnsi="Calibri"/>
                <w:b/>
                <w:color w:val="FFFFFF"/>
                <w:sz w:val="19"/>
              </w:rPr>
              <w:t>Onay tarihi</w:t>
            </w:r>
          </w:p>
        </w:tc>
      </w:tr>
      <w:tr>
        <w:trPr>
          <w:cantSplit/>
        </w:trPr>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c>
          <w:tcPr>
            <w:tcW w:type="dxa" w:w="2494"/>
            <w:tcBorders>
              <w:top w:val="single" w:sz="4" w:color="D9D9D9"/>
              <w:left w:val="single" w:sz="4" w:color="D9D9D9"/>
              <w:bottom w:val="single" w:sz="4" w:color="D9D9D9"/>
              <w:right w:val="single" w:sz="4" w:color="D9D9D9"/>
            </w:tcBorders>
            <w:tcMar>
              <w:top w:w="90" w:type="dxa"/>
              <w:left w:w="90" w:type="dxa"/>
              <w:bottom w:w="90" w:type="dxa"/>
              <w:right w:w="90" w:type="dxa"/>
            </w:tcMar>
            <w:vAlign w:val="center"/>
          </w:tcPr>
          <w:p>
            <w:pPr>
              <w:keepNext w:val="0"/>
              <w:spacing w:after="40" w:before="20" w:line="240" w:lineRule="auto"/>
            </w:pPr>
            <w:r>
              <w:rPr>
                <w:rFonts w:ascii="Calibri" w:hAnsi="Calibri"/>
                <w:sz w:val="19"/>
              </w:rPr>
            </w:r>
          </w:p>
        </w:tc>
      </w:tr>
    </w:tbl>
    <w:sectPr w:rsidR="00FC693F" w:rsidRPr="0006063C" w:rsidSect="00034616">
      <w:headerReference w:type="even" r:id="rIdEKGKimlik"/>
      <w:headerReference w:type="first" r:id="rIdEKGKimlik"/>
      <w:headerReference w:type="default" r:id="rId9"/>
      <w:footerReference w:type="default" r:id="rId10"/>
      <w:pgSz w:w="11906" w:h="16838"/>
      <w:pgMar w:top="1502" w:right="964" w:bottom="935"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 xml:space="preserve">Sayfa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628"/>
      <w:gridCol w:w="6463"/>
    </w:tblGrid>
    <w:tr>
      <w:tc>
        <w:tcPr>
          <w:tcW w:type="dxa" w:w="5046"/>
        </w:tcPr>
        <w:p>
          <w:pPr>
            <w:spacing w:after="0"/>
          </w:pPr>
          <w:r>
            <w:drawing>
              <wp:inline xmlns:a="http://schemas.openxmlformats.org/drawingml/2006/main" xmlns:pic="http://schemas.openxmlformats.org/drawingml/2006/picture">
                <wp:extent cx="1296000" cy="4482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296000" cy="448200"/>
                        </a:xfrm>
                        <a:prstGeom prst="rect"/>
                      </pic:spPr>
                    </pic:pic>
                  </a:graphicData>
                </a:graphic>
              </wp:inline>
            </w:drawing>
          </w:r>
        </w:p>
      </w:tc>
      <w:tc>
        <w:tcPr>
          <w:tcW w:type="dxa" w:w="5046"/>
        </w:tcPr>
        <w:p>
          <w:pPr>
            <w:spacing w:after="0"/>
            <w:jc w:val="right"/>
          </w:pPr>
          <w:r>
            <w:rPr>
              <w:rFonts w:ascii="Calibri" w:hAnsi="Calibri"/>
              <w:b/>
              <w:sz w:val="17"/>
            </w:rPr>
            <w:t>EKG-KLT-TLM-01</w:t>
          </w:r>
          <w:r>
            <w:rPr>
              <w:rFonts w:ascii="Calibri" w:hAnsi="Calibri"/>
              <w:b w:val="0"/>
              <w:sz w:val="17"/>
            </w:rPr>
            <w:br/>
            <w:t>İlk yayın: 04.05.2026</w:t>
          </w:r>
          <w:r>
            <w:rPr>
              <w:rFonts w:ascii="Calibri" w:hAnsi="Calibri"/>
              <w:b w:val="0"/>
              <w:sz w:val="17"/>
            </w:rPr>
            <w:br/>
            <w:t>Revizyon tarihi: 19.10.2026</w:t>
          </w:r>
        </w:p>
      </w:tc>
    </w:tr>
  </w:tbl>
  <w:p>
    <w:pPr>
      <w:spacing w:after="0"/>
    </w:pPr>
  </w:p>
</w:hdr>
</file>

<file path=word/headerEKGKimlik.xml><?xml version="1.0" encoding="utf-8"?>
<w:hdr xmlns:w="http://schemas.openxmlformats.org/wordprocessingml/2006/main">
  <w:p>
    <w:pPr>
      <w:jc w:val="right"/>
      <w:spacing w:before="0" w:after="40"/>
    </w:pPr>
    <w:r>
      <w:rPr>
        <w:b/>
        <w:color w:val="18364A"/>
        <w:sz w:val="18"/>
      </w:rPr>
      <w:t>Doküman No: EKG-KLT-TLM-01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8364A"/>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18364A"/>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836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80"/>
      <w:contextualSpacing/>
    </w:pPr>
    <w:rPr>
      <w:rFonts w:asciiTheme="majorHAnsi" w:eastAsiaTheme="majorEastAsia" w:hAnsiTheme="majorHAnsi" w:cstheme="majorBidi" w:ascii="Calibri" w:hAnsi="Calibri"/>
      <w:b/>
      <w:color w:val="1836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EKGKimlik" Type="http://schemas.openxmlformats.org/officeDocument/2006/relationships/header" Target="headerEKGKimlik.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Taşıma, Depolama ve Kullanım Talimatı (müşteriye yönelik)</dc:title>
  <dc:subject>EKG-KLT-TLM-01</dc:subject>
  <dc:creator>Ekol Glass</dc:creator>
  <cp:keywords/>
  <dc:description/>
  <cp:lastModifiedBy>Ekol Glass</cp:lastModifiedBy>
  <cp:revision>1</cp:revision>
  <dcterms:created xsi:type="dcterms:W3CDTF">2026-05-04T09:00:00Z</dcterms:created>
  <dcterms:modified xsi:type="dcterms:W3CDTF">2026-10-19T09:00:00Z</dcterms:modified>
  <cp:category/>
</cp:coreProperties>
</file>