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Müşteriye Özel Gereklilikler (CSR) Yönetimi Prosedürü</w:t>
      </w:r>
    </w:p>
    <w:p>
      <w:pPr>
        <w:pStyle w:val="Title"/>
      </w:pPr>
      <w:r>
        <w:rPr>
          <w:rFonts w:ascii="Calibri" w:hAnsi="Calibri"/>
        </w:rPr>
        <w:t>Müşteriye Özel Gereklilikler CSR Yönetimi Prosedürü</w:t>
      </w:r>
    </w:p>
    <w:p>
      <w:r>
        <w:rPr>
          <w:rFonts w:ascii="Calibri" w:hAnsi="Calibri"/>
        </w:rPr>
        <w:t>Müşteri şartlarını edinmek, uygulanabilirliğini belirlemek ve ilgili Ekol Glass süreçlerine aktarmak.</w:t>
      </w:r>
    </w:p>
    <w:p>
      <w:pPr>
        <w:pStyle w:val="Heading1"/>
      </w:pPr>
      <w:r>
        <w:rPr>
          <w:rFonts w:ascii="Calibri" w:hAnsi="Calibri"/>
        </w:rPr>
        <w:t>1 Sorumlular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7213"/>
      </w:tblGrid>
      <w:tr>
        <w:trPr>
          <w:tblHeader/>
          <w:cantSplit/>
        </w:trP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Görev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Sorumluluk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Kalite Yöneticisi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Müşteri kalite kaynaklarını takip eder; uyum matrisini ve açık faaliyetleri yönetir.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Proje / Mühendislik Sorumlusu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Teknik resim, PIS, özel karakteristik, test ve değişiklik şartını ilgili teknik belgelere aktarır.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Lojistik / Satınalma Sorumluları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Sevkiyat, EDI / ASN, tedarik ve alt tedarik aktarım şartlarını uygular.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Fabrika Yönetimi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Kaynak ve açık risk kararını verir; kritik uyumsuzluğu eskale eder.</w:t>
            </w:r>
          </w:p>
        </w:tc>
      </w:tr>
    </w:tbl>
    <w:p>
      <w:pPr>
        <w:pStyle w:val="Heading1"/>
      </w:pPr>
      <w:r>
        <w:rPr>
          <w:rFonts w:ascii="Calibri" w:hAnsi="Calibri"/>
        </w:rPr>
        <w:t>2 Kaynakların edinilmesi</w:t>
      </w:r>
    </w:p>
    <w:p>
      <w:pPr>
        <w:pStyle w:val="ListBullet"/>
      </w:pPr>
      <w:r>
        <w:rPr>
          <w:rFonts w:ascii="Calibri" w:hAnsi="Calibri"/>
        </w:rPr>
        <w:t>Müşteri B2B / tedarikçi portalı, sözleşme, QRS, MRS, uygulanabilir GSQN, teknik resim / PIS ve müşteri bildirimleri belirlenen yetkili erişimle alınır.</w:t>
      </w:r>
    </w:p>
    <w:p>
      <w:pPr>
        <w:pStyle w:val="ListBullet"/>
      </w:pPr>
      <w:r>
        <w:rPr>
          <w:rFonts w:ascii="Calibri" w:hAnsi="Calibri"/>
        </w:rPr>
        <w:t>Kaynak adı / numarası, sürüm, yayım ve yürürlük tarihi, erişim yolu, ürün / tesis kapsamı ve takip sorumlusu EKG-YNT-MTR-01 kaydına girilir. Erişim yetkisi ve yedek görevli tanımlanır.</w:t>
      </w:r>
    </w:p>
    <w:p>
      <w:pPr>
        <w:pStyle w:val="ListBullet"/>
      </w:pPr>
      <w:r>
        <w:rPr>
          <w:rFonts w:ascii="Calibri" w:hAnsi="Calibri"/>
        </w:rPr>
        <w:t>Yeni teklif / proje, müşteri değişiklik bildirimi, yeni revizyon veya pazar / ürün değişikliğinde kaynak kontrolü yapılır. Açık projeler ve seri üretim kaynakları en az aylık gözden geçirilir; müşteri daha sık takip istiyorsa bu sıklık uygulanır.</w:t>
      </w:r>
    </w:p>
    <w:p>
      <w:pPr>
        <w:pStyle w:val="Heading1"/>
      </w:pPr>
      <w:r>
        <w:rPr>
          <w:rFonts w:ascii="Calibri" w:hAnsi="Calibri"/>
        </w:rPr>
        <w:t>3 Uygulanabilirlik ve açık analizi</w:t>
      </w:r>
    </w:p>
    <w:p>
      <w:pPr>
        <w:pStyle w:val="ListBullet"/>
      </w:pPr>
      <w:r>
        <w:rPr>
          <w:rFonts w:ascii="Calibri" w:hAnsi="Calibri"/>
        </w:rPr>
        <w:t>Her şart ilgili ürün, tesis, proses ve tedarik kapsamı açısından değerlendirilir. Uygulanmaz kararı gerekçe ve onayla kaydedilir.</w:t>
      </w:r>
    </w:p>
    <w:p>
      <w:pPr>
        <w:pStyle w:val="ListBullet"/>
      </w:pPr>
      <w:r>
        <w:rPr>
          <w:rFonts w:ascii="Calibri" w:hAnsi="Calibri"/>
        </w:rPr>
        <w:t>Mevcut Ekol Glass belgesi ve gerçek uygulama kanıtı şartla eşleştirilir. Yalnız belge bulunması uyum kanıtı sayılmaz.</w:t>
      </w:r>
    </w:p>
    <w:p>
      <w:pPr>
        <w:pStyle w:val="ListBullet"/>
      </w:pPr>
      <w:r>
        <w:rPr>
          <w:rFonts w:ascii="Calibri" w:hAnsi="Calibri"/>
        </w:rPr>
        <w:t>Eksik veya çelişkili şart için sorumlu, termin, geçici koruma ve gerekli müşteri açıklaması / onayı tanımlanır. Kritik güvenlik, mevzuat veya sevkiyat riski bekletilmeden eskale edilir.</w:t>
      </w:r>
    </w:p>
    <w:p>
      <w:pPr>
        <w:pStyle w:val="Heading1"/>
      </w:pPr>
      <w:r>
        <w:rPr>
          <w:rFonts w:ascii="Calibri" w:hAnsi="Calibri"/>
        </w:rPr>
        <w:t>4 Uygulamaya aktarım</w:t>
      </w:r>
    </w:p>
    <w:p>
      <w:pPr>
        <w:pStyle w:val="ListBullet"/>
      </w:pPr>
      <w:r>
        <w:rPr>
          <w:rFonts w:ascii="Calibri" w:hAnsi="Calibri"/>
        </w:rPr>
        <w:t>Gereklilik ilgili kontrol planı, PFMEA, iş talimatı, teknik dosya, test planı, lojistik standardı veya tedarik şartına aktarılır. Özel karakteristik sembol ve tanımları tüm belgelerde tutarlı korunur.</w:t>
      </w:r>
    </w:p>
    <w:p>
      <w:pPr>
        <w:pStyle w:val="ListBullet"/>
      </w:pPr>
      <w:r>
        <w:rPr>
          <w:rFonts w:ascii="Calibri" w:hAnsi="Calibri"/>
        </w:rPr>
        <w:t>Tedarikçiyi etkileyen şartlar satınalma ve kalite tarafından kapsam / sürüm belirtilerek iletilir; alındı ve kabul kaydı alınır.</w:t>
      </w:r>
    </w:p>
    <w:p>
      <w:pPr>
        <w:pStyle w:val="ListBullet"/>
      </w:pPr>
      <w:r>
        <w:rPr>
          <w:rFonts w:ascii="Calibri" w:hAnsi="Calibri"/>
        </w:rPr>
        <w:t>İlgili vardiya ve görevler değişiklik hakkında bilgilendirilir; gerekli eğitim / tebliğ kaydı tutulur. Müşteri onayı gereken değişiklikte yazılı onaydan önce uygulama ve sevkiyat yapılmaz.</w:t>
      </w:r>
    </w:p>
    <w:p>
      <w:pPr>
        <w:pStyle w:val="Heading1"/>
      </w:pPr>
      <w:r>
        <w:rPr>
          <w:rFonts w:ascii="Calibri" w:hAnsi="Calibri"/>
        </w:rPr>
        <w:t>5 Doğrulama ve öz değerlendirme</w:t>
      </w:r>
    </w:p>
    <w:p>
      <w:pPr>
        <w:pStyle w:val="ListBullet"/>
      </w:pPr>
      <w:r>
        <w:rPr>
          <w:rFonts w:ascii="Calibri" w:hAnsi="Calibri"/>
        </w:rPr>
        <w:t>Kalite sahada belge, ekipman, kayıt ve çalışan bilgisiyle uygulamayı doğrular. Bulguların kapatılması kanıt ve etkinlik kontrolüyle tamamlanır.</w:t>
      </w:r>
    </w:p>
    <w:p>
      <w:pPr>
        <w:pStyle w:val="ListBullet"/>
      </w:pPr>
      <w:r>
        <w:rPr>
          <w:rFonts w:ascii="Calibri" w:hAnsi="Calibri"/>
        </w:rPr>
        <w:t xml:space="preserve">Müşterinin öz değerlendirme/paylaşım isteği; yöntem, kapsam, sıklık ve hedefiyle yetkili güncel kaynaktan doğrulanır. MPA, NSA ve diğer değerlendirmeler ayrı kaynak/adlarıyla izlenir; kaynak teyidi olmadan belirli madde, yıllık sıklık veya sayısal hedef güncel zorunluluk sayılmaz. Açıklar ve müşteri paylaşım kanıtı kayıt altına alınır.</w:t>
      </w:r>
    </w:p>
    <w:p>
      <w:pPr>
        <w:pStyle w:val="ListBullet"/>
      </w:pPr>
      <w:r>
        <w:rPr>
          <w:rFonts w:ascii="Calibri" w:hAnsi="Calibri"/>
        </w:rPr>
        <w:t>Farklı kaynak ve sürümlerde aynı madde kodu farklı içerik taşıyabilir. Matrise kaynak adı, sürüm ve madde birlikte yazılır; kod eşitliği içerik eşitliği sayılmaz.</w:t>
      </w:r>
    </w:p>
    <w:p>
      <w:pPr>
        <w:pStyle w:val="Heading1"/>
      </w:pPr>
      <w:r>
        <w:rPr>
          <w:rFonts w:ascii="Calibri" w:hAnsi="Calibri"/>
        </w:rPr>
        <w:t>6 Gözden geçirme ve saklama</w:t>
      </w:r>
    </w:p>
    <w:p>
      <w:r>
        <w:rPr>
          <w:rFonts w:ascii="Calibri" w:hAnsi="Calibri"/>
        </w:rPr>
        <w:t>Matris, kaynak revizyonunda ve uygulama değiştiğinde güncellenir. Geçersiz kaynaklar kullanım alanından kaldırılır; önceki sürüm ve geçiş kaydı izlenebilir tutulur. Açık / geciken uyumsuzluklar yönetimin gözden geçirmesinde değerlendirilir.</w:t>
      </w:r>
    </w:p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EKG-YNT-MTR-01 / EKG-YNT-TLM-02 / EKG-STN-STD-01 / EKG-YNT-MTR-04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EKG-YNT-PRS-02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EKG-YNT-PRS-02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Müşteriye Özel Gereklilikler (CSR) Yönetimi Prosedürü</dc:title>
  <dc:subject>EKG-YNT-PRS-02</dc:subject>
  <dc:creator>Ekol Glass</dc:creator>
  <cp:keywords/>
  <dc:description/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