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Stellantis NSA Kaynak, Durum ve Değerlendirme Kontrol Talimatı</w:t>
      </w:r>
    </w:p>
    <w:p>
      <w:pPr>
        <w:pStyle w:val="Heading1"/>
      </w:pPr>
      <w:r>
        <w:rPr>
          <w:rFonts w:ascii="Calibri" w:hAnsi="Calibri"/>
        </w:rPr>
        <w:t>1 Amaç ve kapsam</w:t>
      </w:r>
    </w:p>
    <w:p>
      <w:r>
        <w:rPr>
          <w:rFonts w:ascii="Calibri" w:hAnsi="Calibri"/>
        </w:rPr>
        <w:t>Stellantis NSA hazırlığında doğru müşteri kaynağını, uygulanabilir şartı ve gerçek kanıtı kullanmak. Bu talimat iç hazırlık düzenidir; resmî müşteri değerlendirmesinin veya puanlama dosyasının yerine geçmez.</w:t>
      </w:r>
    </w:p>
    <w:p>
      <w:pPr>
        <w:pStyle w:val="Heading1"/>
      </w:pPr>
      <w:r>
        <w:rPr>
          <w:rFonts w:ascii="Calibri" w:hAnsi="Calibri"/>
        </w:rPr>
        <w:t>2 Kaynağın doğrulanması</w:t>
      </w:r>
    </w:p>
    <w:p>
      <w:r>
        <w:rPr>
          <w:rFonts w:ascii="Calibri" w:hAnsi="Calibri"/>
        </w:rPr>
        <w:t>Kalite; yetkili müşteri portalı, müşteri değerlendirme yetkilisi veya kontrollü müşteri paylaşımından geçerli dosyayı edinir. Kaynak adı/numarası, sürüm, tarih, tesis/proje kapsamı ve erişim yolu EKG-YNT-MTR-01 ile izlenir.</w:t>
      </w:r>
    </w:p>
    <w:p>
      <w:r>
        <w:rPr>
          <w:rFonts w:ascii="Calibri" w:hAnsi="Calibri"/>
        </w:rPr>
        <w:t>Kaynak dosyanın aslı salt okunur korunur; iç çalışma kopyası ayrı izlenir. Eski sürüm, farklı program veya NIST/siber güvenlik çerçevesi Stellantis NSA kaynağı olarak kullanılmaz. Eksik veya çelişkili kaynakta müşteri açıklaması alınır.</w:t>
      </w:r>
    </w:p>
    <w:p>
      <w:pPr>
        <w:pStyle w:val="Heading1"/>
      </w:pPr>
      <w:r>
        <w:rPr>
          <w:rFonts w:ascii="Calibri" w:hAnsi="Calibri"/>
        </w:rPr>
        <w:t>3 Şart ve kanıt takibi</w:t>
      </w:r>
    </w:p>
    <w:p>
      <w:r>
        <w:rPr>
          <w:rFonts w:ascii="Calibri" w:hAnsi="Calibri"/>
        </w:rPr>
        <w:t xml:space="preserve">Geçerli kaynaktaki madde kimliği ve şart, ilgili süreç sahibi, EKG belgesi ve gerçek saha kanıtıyla EKG-YNT-LST-13’de eşleştirilir. Dokümanın bulunması uygulamanın yapılmış olduğunu göstermez.</w:t>
      </w:r>
    </w:p>
    <w:p>
      <w:r>
        <w:rPr>
          <w:rFonts w:ascii="Calibri" w:hAnsi="Calibri"/>
        </w:rPr>
        <w:t>Kullanıcı envanterindeki “Yapılacak” kaydı hazırlık ihtiyacıdır; tatbikat, denetim, test veya onay yapılmış sayılmaz. Saha kanıtında gerçek tarih/dönem, ürün/lot/kapsam, sonuç ve kayıt konumu bulunur.</w:t>
      </w:r>
    </w:p>
    <w:p>
      <w:r>
        <w:rPr>
          <w:rFonts w:ascii="Calibri" w:hAnsi="Calibri"/>
        </w:rPr>
        <w:t>İç durumlar: Hazırlanacak, Kanıt bekleniyor, Doğrulandı, Uygulanmaz. Uygulanmaz kararında gerekçe ve gereken müşteri/kurum yetkili kararı kaydedilir. Bu durumlar resmî NSA durum kodu değildir.</w:t>
      </w:r>
    </w:p>
    <w:p>
      <w:pPr>
        <w:pStyle w:val="Heading1"/>
      </w:pPr>
      <w:r>
        <w:rPr>
          <w:rFonts w:ascii="Calibri" w:hAnsi="Calibri"/>
        </w:rPr>
        <w:t>4 Puan ve resmî değerlendirme</w:t>
      </w:r>
    </w:p>
    <w:p>
      <w:r>
        <w:rPr>
          <w:rFonts w:ascii="Calibri" w:hAnsi="Calibri"/>
        </w:rPr>
        <w:t>Resmî durum, ağırlık, zorunlu madde, eşik ve toplam hesap yalnız doğrulanmış müşteri dosyası/talimatına göre uygulanır. İç hazırlık çizelgesinden resmî puan üretilmez; kaynağı olmayan sayı, madde veya başarı sonucu yazılmaz.</w:t>
      </w:r>
    </w:p>
    <w:p>
      <w:r>
        <w:rPr>
          <w:rFonts w:ascii="Calibri" w:hAnsi="Calibri"/>
        </w:rPr>
        <w:t>MPA, NSA ve diğer müşteri değerlendirmeleri adları ve kaynaklarıyla ayrı izlenir. Birindeki hedef, sıklık veya puan diğerine otomatik aktarılmaz. Değerlendirme sonucu yalnız ilgili yetkili karar ve gerçek kanıtla kaydedilir.</w:t>
      </w:r>
    </w:p>
    <w:p>
      <w:pPr>
        <w:pStyle w:val="Heading1"/>
      </w:pPr>
      <w:r>
        <w:rPr>
          <w:rFonts w:ascii="Calibri" w:hAnsi="Calibri"/>
        </w:rPr>
        <w:t>5 Açıklar ve kapanış</w:t>
      </w:r>
    </w:p>
    <w:p>
      <w:r>
        <w:rPr>
          <w:rFonts w:ascii="Calibri" w:hAnsi="Calibri"/>
        </w:rPr>
        <w:t>Açık için risk, geçici koruma, faaliyet, sorumlu ve termin belirlenir. Süreç sahibi uygulama kanıtını sunar; Kalite şartla ve sahayla karşılaştırarak doğrular. Uygulanmamış işlem tamamlandı gösterilmez. Kaynak veya proses değiştiğinde ilgili eşleme ve kanıt yeniden incelenir.</w:t>
      </w:r>
    </w:p>
    <w:p>
      <w:pPr>
        <w:pStyle w:val="Heading1"/>
      </w:pPr>
      <w:r>
        <w:rPr>
          <w:rFonts w:ascii="Calibri" w:hAnsi="Calibri"/>
        </w:rPr>
        <w:t>6 İlgili belgeler</w:t>
      </w:r>
    </w:p>
    <w:p>
      <w:r>
        <w:rPr>
          <w:rFonts w:ascii="Calibri" w:hAnsi="Calibri"/>
        </w:rPr>
        <w:t xml:space="preserve">EKG-YNT-LST-13 / EKG-YNT-MTR-01 / EKG-YNT-PRS-02 / EKG-YNT-TLM-02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EKG-YNT-TLM-03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 xml:space="preserve">Doküman No: EKG-YNT-TLM-03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Stellantis NSA Kaynak, Durum ve Değerlendirme Kontrol Talimatı</dc:title>
  <dc:subject>EKG-YNT-TLM-03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