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İş Sürekliliği ve Acil Durum Planlama Prosedürü</w:t>
      </w:r>
    </w:p>
    <w:p>
      <w:r>
        <w:rPr>
          <w:rFonts w:ascii="Calibri" w:hAnsi="Calibri"/>
        </w:rPr>
        <w:t>Kesinti risklerinde insanları, ürünü, müşteri teslimatını ve bilgi sistemlerini koruyarak kontrollü toparlanmayı sağlamak.</w:t>
      </w:r>
    </w:p>
    <w:p>
      <w:pPr>
        <w:pStyle w:val="Heading1"/>
      </w:pPr>
      <w:r>
        <w:rPr>
          <w:rFonts w:ascii="Calibri" w:hAnsi="Calibri"/>
        </w:rPr>
        <w:t>1 Yetki ve görevler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5"/>
        <w:gridCol w:w="7213"/>
      </w:tblGrid>
      <w:tr>
        <w:trPr>
          <w:tblHeader/>
          <w:cantSplit/>
        </w:trPr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Görev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Karar / uygulama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Fabrika Yöneticisi / vekili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Acil durum ekibini toplar; süreklilik planını devreye alır; kaynak, öncelik ve normal faaliyete dönüş kararını verir.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Üretim ve Bakım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Prosesi güvenli durdurur; etkilenen ekipman, enerji ve yarı mamulü belirler; teknik toparlanmayı doğrular.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Kalite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Son uygun kontrol noktasını ve şüpheli lotu belirler; karantina, ilave kontrol, müşteri onayı ve ürün serbest bırakmasını yönetir.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Lojistik ve Satınalma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Stok, açık sipariş, taşıma ve Tier-N etkisini belirler; müşteri/tedarikçi iletişimini yetki matrisiyle yürütür.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BT sorumlusu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Erişim ve sistem izolasyonu, yedek/geri yükleme, veri bütünlüğü ve iletişim alternatiflerini doğrular.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İK / İSG sorumlusu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Can güvenliği, tahliye ve personel durumunu yönetir; yalnız yetkili ekibin müdahalesini sağlar.</w:t>
            </w:r>
          </w:p>
        </w:tc>
      </w:tr>
    </w:tbl>
    <w:p>
      <w:pPr>
        <w:pStyle w:val="Heading1"/>
      </w:pPr>
      <w:r>
        <w:rPr>
          <w:rFonts w:ascii="Calibri" w:hAnsi="Calibri"/>
        </w:rPr>
        <w:t>2 Hazırlık ve risk planları</w:t>
      </w:r>
    </w:p>
    <w:p>
      <w:pPr>
        <w:pStyle w:val="ListBullet"/>
      </w:pPr>
      <w:r>
        <w:rPr>
          <w:rFonts w:ascii="Calibri" w:hAnsi="Calibri"/>
        </w:rPr>
        <w:t>Risk haritası; enerji, su ve basınçlı hava, kritik proses, kritik tedarikçi, personel, yangın, sel, deprem, ulaşım ve BT/siber olayları kapsar. Değerlendirme EKG-YNT-PRS-04’e göre yapılır.</w:t>
      </w:r>
    </w:p>
    <w:p>
      <w:pPr>
        <w:pStyle w:val="ListBullet"/>
      </w:pPr>
      <w:r>
        <w:rPr>
          <w:rFonts w:ascii="Calibri" w:hAnsi="Calibri"/>
        </w:rPr>
        <w:t>Her uygulanabilir risk için EKG-YNT-PLN-05’te tetikleyici, ilk koruma, sorumlu/vekil, iletişim, alternatif akış, hedef toparlanma, kabul şartı ve yeniden başlatma adımı belirlenir.</w:t>
      </w:r>
    </w:p>
    <w:p>
      <w:pPr>
        <w:pStyle w:val="ListBullet"/>
      </w:pPr>
      <w:r>
        <w:rPr>
          <w:rFonts w:ascii="Calibri" w:hAnsi="Calibri"/>
        </w:rPr>
        <w:t>Alternatif makine, tedarikçi, tesis, stok, personel veya iletişim çözümü kullanılmadan önce kapasite, ürün/proses uygunluğu, müşteri şartı ve doğrulama kanıtı kontrol edilir. Mevcut olduğu doğrulanmamış kaynak plana hazır kaynak olarak yazılmaz.</w:t>
      </w:r>
    </w:p>
    <w:p>
      <w:pPr>
        <w:pStyle w:val="ListBullet"/>
      </w:pPr>
      <w:r>
        <w:rPr>
          <w:rFonts w:ascii="Calibri" w:hAnsi="Calibri"/>
        </w:rPr>
        <w:t>Sigorta risk denetimi önerileri EKG-YNT-LST-07’ye aktarılır; rapordaki EML/MFL verileri birimi ve rapor referansıyla kaydedilir.</w:t>
      </w:r>
    </w:p>
    <w:p>
      <w:pPr>
        <w:pStyle w:val="Heading1"/>
      </w:pPr>
      <w:r>
        <w:rPr>
          <w:rFonts w:ascii="Calibri" w:hAnsi="Calibri"/>
        </w:rPr>
        <w:t>3 Olayda devreye alma</w:t>
      </w:r>
    </w:p>
    <w:p>
      <w:pPr>
        <w:pStyle w:val="ListBullet"/>
      </w:pPr>
      <w:r>
        <w:rPr>
          <w:rFonts w:ascii="Calibri" w:hAnsi="Calibri"/>
        </w:rPr>
        <w:t>Olayı gören kişi işi güvenli biçimde durdurur ve amirine bildirir. Can güvenliği tehlikesinde işletmenin tahliye/acil yardım talimatı önceliklidir.</w:t>
      </w:r>
    </w:p>
    <w:p>
      <w:pPr>
        <w:pStyle w:val="ListBullet"/>
      </w:pPr>
      <w:r>
        <w:rPr>
          <w:rFonts w:ascii="Calibri" w:hAnsi="Calibri"/>
        </w:rPr>
        <w:t>Olay sorumlusu başlangıç saatini, etkilenen alanı, çalışan/ekipman durumunu ve bilinen etkileri kaydeder. Ekip; müşteri duruşu, ürün uygunluğu ve toparlanma kapasitesini birlikte değerlendirir.</w:t>
      </w:r>
    </w:p>
    <w:p>
      <w:pPr>
        <w:pStyle w:val="ListBullet"/>
      </w:pPr>
      <w:r>
        <w:rPr>
          <w:rFonts w:ascii="Calibri" w:hAnsi="Calibri"/>
        </w:rPr>
        <w:t>Son uygun kontrolden itibaren etkilenen mamul, yarı mamul, hammadde ve sevkteki lotlar belirlenir; şüpheli ürün fiziksel ve sistemsel olarak bloke edilir.</w:t>
      </w:r>
    </w:p>
    <w:p>
      <w:pPr>
        <w:pStyle w:val="ListBullet"/>
      </w:pPr>
      <w:r>
        <w:rPr>
          <w:rFonts w:ascii="Calibri" w:hAnsi="Calibri"/>
        </w:rPr>
        <w:t>Müşteri etkisi veya şart sapması öngörüldüğünde yetkili kişi, müşteri özel bildirim süresine uyarak müşteriye bildirir. Kapsam, stok güvencesi, açık sevkiyatlar, koruma, tahmini toparlanma ve sonraki bilgilendirme zamanı kayda alınır.</w:t>
      </w:r>
    </w:p>
    <w:p>
      <w:pPr>
        <w:pStyle w:val="ListBullet"/>
      </w:pPr>
      <w:r>
        <w:rPr>
          <w:rFonts w:ascii="Calibri" w:hAnsi="Calibri"/>
        </w:rPr>
        <w:t>Toparlanma hedefi tutmayacaksa Fabrika Yöneticisi durumu yeniden değerlendirir; müşteriyle teyit edilmemiş teslimat veya alternatif proses taahhüdü verilmez.</w:t>
      </w:r>
    </w:p>
    <w:p>
      <w:pPr>
        <w:pStyle w:val="Heading1"/>
      </w:pPr>
      <w:r>
        <w:rPr>
          <w:rFonts w:ascii="Calibri" w:hAnsi="Calibri"/>
        </w:rPr>
        <w:t>4 BT ve veri sürekliliği</w:t>
      </w:r>
    </w:p>
    <w:p>
      <w:pPr>
        <w:pStyle w:val="ListBullet"/>
      </w:pPr>
      <w:r>
        <w:rPr>
          <w:rFonts w:ascii="Calibri" w:hAnsi="Calibri"/>
        </w:rPr>
        <w:t>BT sorumlusu sistem, kritik veri ve erişim yetkilerini envanterler. Yetkisiz erişim ve taşınabilir medya kontrollerini uygular; yedekleme sıklığı, saklama, ayrıştırma, sorumlu ve kurtarma hedeflerini tanımlar.</w:t>
      </w:r>
    </w:p>
    <w:p>
      <w:pPr>
        <w:pStyle w:val="ListBullet"/>
      </w:pPr>
      <w:r>
        <w:rPr>
          <w:rFonts w:ascii="Calibri" w:hAnsi="Calibri"/>
        </w:rPr>
        <w:t>Şüpheli siber olayda etkilenen sistem ayrıştırılır; log ve olay kanıtı korunur. Yedeklerden geri yükleme, zararlı etkinin giderildiği ve verinin bütünlüğü doğrulandıktan sonra yapılır.</w:t>
      </w:r>
    </w:p>
    <w:p>
      <w:pPr>
        <w:pStyle w:val="ListBullet"/>
      </w:pPr>
      <w:r>
        <w:rPr>
          <w:rFonts w:ascii="Calibri" w:hAnsi="Calibri"/>
        </w:rPr>
        <w:t>ERP/EDI/iletişim kesintisinde kullanılacak alternatif yöntem; veri doğruluğu, sipariş-sevkiyat eşleştirmesi ve müşteri kabulüyle doğrulanır. Kesinti sırasında tutulan kayıtlar sistem dönüşünde mutabakatla işlenir.</w:t>
      </w:r>
    </w:p>
    <w:p>
      <w:pPr>
        <w:pStyle w:val="ListBullet"/>
      </w:pPr>
      <w:r>
        <w:rPr>
          <w:rFonts w:ascii="Calibri" w:hAnsi="Calibri"/>
        </w:rPr>
        <w:t>Geri yükleme ve alternatif iletişim düzenli test edilir; gerçekleşmemiş test tamamlandı olarak işaretlenmez.</w:t>
      </w:r>
    </w:p>
    <w:p>
      <w:pPr>
        <w:pStyle w:val="Heading1"/>
      </w:pPr>
      <w:r>
        <w:rPr>
          <w:rFonts w:ascii="Calibri" w:hAnsi="Calibri"/>
        </w:rPr>
        <w:t>5 Geçici proses ve yeniden başlatma</w:t>
      </w:r>
    </w:p>
    <w:p>
      <w:pPr>
        <w:pStyle w:val="ListBullet"/>
      </w:pPr>
      <w:r>
        <w:rPr>
          <w:rFonts w:ascii="Calibri" w:hAnsi="Calibri"/>
        </w:rPr>
        <w:t>Onaylı akış dışındaki yedek operasyon, devre dışı hata önleme veya geçici yeniden işlem için Üretim, Mühendislik ve Kalite onayı gerekir. Müşteri onayı gereken değişiklik onay alınmadan uygulanmaz.</w:t>
      </w:r>
    </w:p>
    <w:p>
      <w:pPr>
        <w:pStyle w:val="ListBullet"/>
      </w:pPr>
      <w:r>
        <w:rPr>
          <w:rFonts w:ascii="Calibri" w:hAnsi="Calibri"/>
        </w:rPr>
        <w:t>Geçici akış; PFMEA, kontrol planı, iş talimatı, lot izlenebilirliği, ilave kontrol, başlangıç/bitiş ve normal prosese dönüş ölçütleriyle kayıt altına alınır. Etkin geçici akış noktası sahada tanımlanır.</w:t>
      </w:r>
    </w:p>
    <w:p>
      <w:pPr>
        <w:pStyle w:val="ListBullet"/>
      </w:pPr>
      <w:r>
        <w:rPr>
          <w:rFonts w:ascii="Calibri" w:hAnsi="Calibri"/>
        </w:rPr>
        <w:t>Başlatmadan önce enerji/ekipman güvenliği, bakım durumu, ayar/yazılım sürümü, ölçüm ve hata önleme kontrolleri, malzeme-lot eşleştirmesi, ilk parça ve kontrol planı testleri tamamlanır.</w:t>
      </w:r>
    </w:p>
    <w:p>
      <w:pPr>
        <w:pStyle w:val="ListBullet"/>
      </w:pPr>
      <w:r>
        <w:rPr>
          <w:rFonts w:ascii="Calibri" w:hAnsi="Calibri"/>
        </w:rPr>
        <w:t>EKG-URT-FRM-11’de teknik uygunluk ve Kalite serbest bırakma kaydı olmadan seri üretim/sevkiyat başlatılmaz. Başarısız kontrolde ürün blokajı sürer; neden giderilip kontrol tekrarlanır.</w:t>
      </w:r>
    </w:p>
    <w:p>
      <w:pPr>
        <w:pStyle w:val="Heading1"/>
      </w:pPr>
      <w:r>
        <w:rPr>
          <w:rFonts w:ascii="Calibri" w:hAnsi="Calibri"/>
        </w:rPr>
        <w:t>6 Test gözden geçirme ve kapanış</w:t>
      </w:r>
    </w:p>
    <w:p>
      <w:pPr>
        <w:pStyle w:val="ListBullet"/>
      </w:pPr>
      <w:r>
        <w:rPr>
          <w:rFonts w:ascii="Calibri" w:hAnsi="Calibri"/>
        </w:rPr>
        <w:t>Risk ve planlar yılda en az bir kez, olay/değişiklik sonrasında ve yeni risk görüldüğünde çapraz fonksiyonlu ekiple gözden geçirilir.</w:t>
      </w:r>
    </w:p>
    <w:p>
      <w:pPr>
        <w:pStyle w:val="ListBullet"/>
      </w:pPr>
      <w:r>
        <w:rPr>
          <w:rFonts w:ascii="Calibri" w:hAnsi="Calibri"/>
        </w:rPr>
        <w:t>Tatbikat/simülasyon programı risk önceliğine göre belirlenir; plan sahipleri, hedefler, uygulanacak senaryo ve başarı ölçütlerini önceden tanımlar. Üretim ve güvenliği etkileyen testler kontrollü koşullarda yapılır.</w:t>
      </w:r>
    </w:p>
    <w:p>
      <w:pPr>
        <w:pStyle w:val="ListBullet"/>
      </w:pPr>
      <w:r>
        <w:rPr>
          <w:rFonts w:ascii="Calibri" w:hAnsi="Calibri"/>
        </w:rPr>
        <w:t>Sonuçlar EKG-YNT-FRM-03’e; açıklar, sorumlu, termin ve doğrulama EKG-YNT-FRM-05’e kaydedilir. Etkinliği gösterilmeyen plan için faaliyet ve tekrar test tarihi atanır.</w:t>
      </w:r>
    </w:p>
    <w:p>
      <w:pPr>
        <w:pStyle w:val="ListBullet"/>
      </w:pPr>
      <w:r>
        <w:rPr>
          <w:rFonts w:ascii="Calibri" w:hAnsi="Calibri"/>
        </w:rPr>
        <w:t>Olay kapanışında stok ve veri mutabakatı, ürün kararları, müşteri bilgilendirmesi ve kalıcı önlemler tamamlanır. Fabrika Yöneticisi kalan riski ve normal faaliyete dönüşü kaydeder; öğrenilen ders risk haritasına aktarılır.</w:t>
      </w:r>
    </w:p>
    <w:p>
      <w:pPr>
        <w:pStyle w:val="Heading1"/>
      </w:pPr>
      <w:r>
        <w:rPr>
          <w:rFonts w:ascii="Calibri" w:hAnsi="Calibri"/>
        </w:rPr>
        <w:t>İlgili kayıtlar</w:t>
      </w:r>
    </w:p>
    <w:p>
      <w:r>
        <w:rPr>
          <w:rFonts w:ascii="Calibri" w:hAnsi="Calibri"/>
        </w:rPr>
        <w:t>EKG-YNT-PRS-04 / EKG-YNT-PRS-05 / EKG-YNT-MTR-02 / EKG-YNT-PLN-05 / EKG-YNT-FRM-03 / EKG-YNT-FRM-05 / EKG-URT-FRM-11</w:t>
      </w:r>
    </w:p>
    <w:p>
      <w:pPr>
        <w:pStyle w:val="Heading1"/>
      </w:pPr>
      <w:r>
        <w:rPr>
          <w:rFonts w:ascii="Calibri" w:hAnsi="Calibri"/>
        </w:rPr>
        <w:t>Belge onayı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Hazırlayan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Kontrol eden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 tarihi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1906" w:h="16838"/>
      <w:pgMar w:top="1502" w:right="964" w:bottom="935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EKG-YNT-PRS-05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EKG-YNT-PRS-05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rial" w:hAnsi="Arial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EKGKimlik" Type="http://schemas.openxmlformats.org/officeDocument/2006/relationships/header" Target="headerEKGKimlik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İş Sürekliliği ve Acil Durum Planlama Prosedürü</dc:title>
  <dc:subject>EKG-YNT-PRS-05</dc:subject>
  <dc:creator>Ekol Glass</dc:creator>
  <cp:keywords/>
  <dc:description/>
  <cp:lastModifiedBy>Ekol Glass</cp:lastModifiedBy>
  <cp:revision>1</cp:revision>
  <dcterms:created xsi:type="dcterms:W3CDTF">2026-05-04T09:00:00Z</dcterms:created>
  <dcterms:modified xsi:type="dcterms:W3CDTF">2026-10-19T09:00:00Z</dcterms:modified>
  <cp:category/>
</cp:coreProperties>
</file>