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KonuBal"/>
      </w:pPr>
      <w:r>
        <w:rPr>
          <w:rFonts w:ascii="Calibri" w:hAnsi="Calibri"/>
        </w:rPr>
        <w:t>Tedarikçi Performans Değerlendirme Formu</w:t>
      </w:r>
    </w:p>
    <w:p>
      <w:pPr>
        <w:pStyle w:val="Balk1"/>
      </w:pPr>
      <w:r>
        <w:rPr>
          <w:rFonts w:ascii="Calibri" w:hAnsi="Calibri"/>
        </w:rPr>
        <w:t>1 Değerlendirme bilgileri</w:t>
      </w:r>
    </w:p>
    <w:tbl>
      <w:tblPr>
        <w:tblStyle w:val="TabloKlavuzu"/>
        <w:tblW w:type="auto" w:w="0"/>
        <w:tblLayout w:type="fixed"/>
        <w:tblLook w:firstColumn="1" w:firstRow="1" w:lastColumn="0" w:lastRow="0" w:noHBand="0" w:noVBand="1" w:val="04A0"/>
      </w:tblPr>
      <w:tblGrid>
        <w:gridCol w:w="7431"/>
        <w:gridCol w:w="2661"/>
      </w:tblGrid>
      <w:tr>
        <w:trPr>
          <w:tblHeader/>
          <w:cantSplit/>
        </w:trPr>
        <w:tc>
          <w:tcPr>
            <w:tcW w:type="dxa" w:w="74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Alan</w:t>
            </w:r>
          </w:p>
        </w:tc>
        <w:tc>
          <w:tcPr>
            <w:tcW w:type="dxa" w:w="266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Kayıt</w:t>
            </w:r>
          </w:p>
        </w:tc>
      </w:tr>
      <w:tr>
        <w:trPr>
          <w:cantSplit/>
        </w:trPr>
        <w:tc>
          <w:tcPr>
            <w:tcW w:type="dxa" w:w="74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Tedarikçi / tesis / tedarik kapsamı</w:t>
            </w:r>
          </w:p>
        </w:tc>
        <w:tc>
          <w:tcPr>
            <w:tcW w:type="dxa" w:w="266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4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Dönem / değerlendirenler / tarih</w:t>
            </w:r>
          </w:p>
        </w:tc>
        <w:tc>
          <w:tcPr>
            <w:tcW w:type="dxa" w:w="266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743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Hedef ve yükümlülük kaynağı / revizyonu</w:t>
            </w:r>
          </w:p>
        </w:tc>
        <w:tc>
          <w:tcPr>
            <w:tcW w:type="dxa" w:w="266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Balk1"/>
      </w:pPr>
      <w:r>
        <w:rPr>
          <w:rFonts w:ascii="Calibri" w:hAnsi="Calibri"/>
        </w:rPr>
        <w:t>2 Gerçek veri ve puan</w:t>
      </w:r>
    </w:p>
    <w:p>
      <w:r>
        <w:rPr>
          <w:rFonts w:ascii="Calibri" w:hAnsi="Calibri"/>
        </w:rPr>
        <w:t>Alt oranlar EKG-STN-TLM-01’e göre hesaplanır. Uygulanmayan kriter gerekçe ve yetkili kararla ayrılır. Eksik kanıt Uygulanmaz sayılmaz.</w:t>
      </w:r>
    </w:p>
    <w:tbl>
      <w:tblPr>
        <w:tblStyle w:val="TabloKlavuzu"/>
        <w:tblW w:type="auto" w:w="0"/>
        <w:tblLayout w:type="fixed"/>
        <w:tblLook w:firstColumn="1" w:firstRow="1" w:lastColumn="0" w:lastRow="0" w:noHBand="0" w:noVBand="1" w:val="04A0"/>
      </w:tblPr>
      <w:tblGrid>
        <w:gridCol w:w="3686"/>
        <w:gridCol w:w="2479"/>
        <w:gridCol w:w="1798"/>
        <w:gridCol w:w="2128"/>
      </w:tblGrid>
      <w:tr>
        <w:trPr>
          <w:tblHeader/>
          <w:cantSplit/>
        </w:trPr>
        <w:tc>
          <w:tcPr>
            <w:tcW w:type="dxa" w:w="368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Kriter / iç ağırlık</w:t>
            </w:r>
          </w:p>
        </w:tc>
        <w:tc>
          <w:tcPr>
            <w:tcW w:type="dxa" w:w="247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Pay / payda / kanıt</w:t>
            </w:r>
          </w:p>
        </w:tc>
        <w:tc>
          <w:tcPr>
            <w:tcW w:type="dxa" w:w="179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Alt oran %</w:t>
            </w:r>
          </w:p>
        </w:tc>
        <w:tc>
          <w:tcPr>
            <w:tcW w:type="dxa" w:w="212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Ağırlıklı puan</w:t>
            </w:r>
          </w:p>
        </w:tc>
      </w:tr>
      <w:tr>
        <w:trPr>
          <w:cantSplit/>
        </w:trPr>
        <w:tc>
          <w:tcPr>
            <w:tcW w:type="dxa" w:w="368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Kalite uygunluğu / 40</w:t>
            </w:r>
          </w:p>
        </w:tc>
        <w:tc>
          <w:tcPr>
            <w:tcW w:type="dxa" w:w="247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9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2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68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Zamanında ve tam teslimat / 30</w:t>
            </w:r>
          </w:p>
        </w:tc>
        <w:tc>
          <w:tcPr>
            <w:tcW w:type="dxa" w:w="247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9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2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68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Yönetim/teknik yükümlülüklere uyum / 30</w:t>
            </w:r>
          </w:p>
        </w:tc>
        <w:tc>
          <w:tcPr>
            <w:tcW w:type="dxa" w:w="247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9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2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68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Toplam / uygulanabilir ağırlıkla normalize</w:t>
            </w:r>
          </w:p>
        </w:tc>
        <w:tc>
          <w:tcPr>
            <w:tcW w:type="dxa" w:w="2479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9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28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Balk1"/>
      </w:pPr>
      <w:r>
        <w:rPr>
          <w:rFonts w:ascii="Calibri" w:hAnsi="Calibri"/>
        </w:rPr>
        <w:t>3 Karar ve takip</w:t>
      </w:r>
    </w:p>
    <w:p>
      <w:r>
        <w:rPr>
          <w:rFonts w:ascii="Calibri" w:hAnsi="Calibri"/>
        </w:rPr>
        <w:t>Toplam puan / performans sınıfı:</w:t>
      </w:r>
    </w:p>
    <w:p>
      <w:r>
        <w:rPr>
          <w:rFonts w:ascii="Calibri" w:hAnsi="Calibri"/>
        </w:rPr>
        <w:t>Güvenlik, mevzuat, geçersiz yeterlilik veya kritik teslimat riski / eskalasyon kaydı:</w:t>
      </w:r>
    </w:p>
    <w:p>
      <w:r>
        <w:rPr>
          <w:rFonts w:ascii="Calibri" w:hAnsi="Calibri"/>
        </w:rPr>
        <w:t>Açık faaliyet / sorumlu / termin / etkinlik ölçütü:</w:t>
      </w:r>
    </w:p>
    <w:p>
      <w:r>
        <w:rPr>
          <w:rFonts w:ascii="Calibri" w:hAnsi="Calibri"/>
        </w:rPr>
        <w:t>Sonraki gözden geçirme tarihi:</w:t>
      </w:r>
    </w:p>
    <w:p>
      <w:r>
        <w:rPr>
          <w:rFonts w:ascii="Calibri" w:hAnsi="Calibri"/>
        </w:rPr>
        <w:t>Satınalma değerlendirmesi / tarih:                  Kalite değerlendirmesi / tarih:</w:t>
      </w:r>
    </w:p>
    <w:p>
      <w:r>
        <w:rPr>
          <w:rFonts w:ascii="Calibri" w:hAnsi="Calibri"/>
        </w:rPr>
        <w:t>A: 85–100; B: 70–85 altı; C: 0–70 altı. Bu sınıflar iç izleme içindir. Puan tek başına kaynak veya ürün onayı değildir; kritik riskte EKG-STN-PRS-02 uygulanır.</w:t>
      </w:r>
    </w:p>
    <w:sectPr w:rsidR="007D4BDF" w:rsidSect="00034616">
      <w:headerReference w:type="even" r:id="rIdEKGKimlik"/>
      <w:headerReference w:type="first" r:id="rIdEKGKimlik"/>
      <w:headerReference w:type="default" r:id="rIdEKGKimlik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EKGKimlik.xml><?xml version="1.0" encoding="utf-8"?>
<w:hdr xmlns:w="http://schemas.openxmlformats.org/wordprocessingml/2006/main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EKG-STN-FRM-01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362684">
    <w:abstractNumId w:val="8"/>
  </w:num>
  <w:num w:numId="2" w16cid:durableId="263348321">
    <w:abstractNumId w:val="6"/>
  </w:num>
  <w:num w:numId="3" w16cid:durableId="625625717">
    <w:abstractNumId w:val="5"/>
  </w:num>
  <w:num w:numId="4" w16cid:durableId="1044792524">
    <w:abstractNumId w:val="4"/>
  </w:num>
  <w:num w:numId="5" w16cid:durableId="1567687628">
    <w:abstractNumId w:val="7"/>
  </w:num>
  <w:num w:numId="6" w16cid:durableId="401952238">
    <w:abstractNumId w:val="3"/>
  </w:num>
  <w:num w:numId="7" w16cid:durableId="951285187">
    <w:abstractNumId w:val="2"/>
  </w:num>
  <w:num w:numId="8" w16cid:durableId="1326544299">
    <w:abstractNumId w:val="1"/>
  </w:num>
  <w:num w:numId="9" w16cid:durableId="6776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617"/>
    <w:rsid w:val="0015074B"/>
    <w:rsid w:val="0029639D"/>
    <w:rsid w:val="00326F90"/>
    <w:rsid w:val="004811A2"/>
    <w:rsid w:val="007D4BDF"/>
    <w:rsid w:val="00AA1D8D"/>
    <w:rsid w:val="00B47730"/>
    <w:rsid w:val="00B868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C1FDCE"/>
  <w14:defaultImageDpi w14:val="300"/>
  <w15:docId w15:val="{DABF00D5-9121-423B-AC8C-DF0F325A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EKGKimlik" Type="http://schemas.openxmlformats.org/officeDocument/2006/relationships/header" Target="headerEKGKimlik.xml"/><Relationship Id="rId8" Type="http://schemas.openxmlformats.org/officeDocument/2006/relationships/footer" Target="footer1.xml"/></Relationships>
</file>

<file path=word/_rels/headerEKGKimlik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Tedarikçi Performans Değerlendirme Formu</dc:title>
  <dc:subject>EKG-STN-FRM-01</dc:subject>
  <dc:creator>Ekol Glass</dc:creator>
  <cp:keywords/>
  <dc:description>generated by python-docx</dc:description>
  <cp:lastModifiedBy>Ekol Glass</cp:lastModifiedBy>
  <cp:revision>2</cp:revision>
  <dcterms:created xsi:type="dcterms:W3CDTF">2026-05-04T09:00:00Z</dcterms:created>
  <dcterms:modified xsi:type="dcterms:W3CDTF">2026-10-19T09:00:00Z</dcterms:modified>
  <cp:category/>
</cp:coreProperties>
</file>