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Tedarikçi Eskalasyon Prosedürü ve Kritik Tedarikçi Listesi</w:t>
      </w:r>
    </w:p>
    <w:p>
      <w:r>
        <w:rPr>
          <w:rFonts w:ascii="Calibri" w:hAnsi="Calibri"/>
        </w:rPr>
        <w:t>Tedarikçi kalite ve teslimat sapmalarında koruma, destek, eskalasyon ve çıkış kararlarını yönetmek.</w:t>
      </w:r>
    </w:p>
    <w:p>
      <w:pPr>
        <w:pStyle w:val="Heading1"/>
      </w:pPr>
      <w:r>
        <w:rPr>
          <w:rFonts w:ascii="Calibri" w:hAnsi="Calibri"/>
        </w:rPr>
        <w:t>1 Sorumluluk ve izleme</w:t>
      </w:r>
    </w:p>
    <w:p>
      <w:r>
        <w:rPr>
          <w:rFonts w:ascii="Calibri" w:hAnsi="Calibri"/>
        </w:rPr>
        <w:t>Satınalma, Kalite ve Lojistik tedarikçi performansını en az aylık gözden geçirir. Kritik teslimat riski günlük izlenir. Hedef ve eşikler EKG-STN-FRM-05 izleme hedefleri veya kayıtlı sözleşme/müşteri şartıyla tanımlanır.</w:t>
      </w:r>
    </w:p>
    <w:p>
      <w:r>
        <w:rPr>
          <w:rFonts w:ascii="Calibri" w:hAnsi="Calibri"/>
        </w:rPr>
        <w:t>Kalite; uygunsuzluk kapsamı, şüpheli ürün, giriş kontrolü ve teknik doğrulamayı; Lojistik stok/teslimat korumasını; Satınalma tedarikçi iletişimi, kapasite ve ticari tedbirleri yönetir. Fabrika Yöneticisi kritik kaynak ve destek kararlarını verir.</w:t>
      </w:r>
    </w:p>
    <w:p>
      <w:pPr>
        <w:pStyle w:val="Heading1"/>
      </w:pPr>
      <w:r>
        <w:rPr>
          <w:rFonts w:ascii="Calibri" w:hAnsi="Calibri"/>
        </w:rPr>
        <w:t>2 Başlatma ve ilk koruma</w:t>
      </w:r>
    </w:p>
    <w:p>
      <w:pPr>
        <w:pStyle w:val="ListBullet"/>
      </w:pPr>
      <w:r>
        <w:rPr>
          <w:rFonts w:ascii="Calibri" w:hAnsi="Calibri"/>
        </w:rPr>
        <w:t>Kalite/teslimat hedef sapması, tekrarlayan şikâyet, müşteri etkisi, kapasite yetersizliği, geçersiz yeterlilik, tamamlanmayan faaliyet veya güvenlik/mevzuat şüphesi eskalasyon girdisidir.</w:t>
      </w:r>
    </w:p>
    <w:p>
      <w:pPr>
        <w:pStyle w:val="ListBullet"/>
      </w:pPr>
      <w:r>
        <w:rPr>
          <w:rFonts w:ascii="Calibri" w:hAnsi="Calibri"/>
        </w:rPr>
        <w:t>Bulguyu alan sorumlu EKG-STN-FRM-04 açar; tedarikçi, parça/lot, hata, miktar, son uygun kontrol ve etkilenen sevk/stok kapsamını kaydeder. Kanıtlar korunur.</w:t>
      </w:r>
    </w:p>
    <w:p>
      <w:pPr>
        <w:pStyle w:val="ListBullet"/>
      </w:pPr>
      <w:r>
        <w:rPr>
          <w:rFonts w:ascii="Calibri" w:hAnsi="Calibri"/>
        </w:rPr>
        <w:t>Tedarikçi ve Ekol Glass stokları, transit ve gerekiyorsa müşteri kapsamı belirlenir. Şüpheli ürün bloke edilir; kontrol planındaki reaksiyon ve risk bazlı ilave kontrol uygulanır.</w:t>
      </w:r>
    </w:p>
    <w:p>
      <w:pPr>
        <w:pStyle w:val="ListBullet"/>
      </w:pPr>
      <w:r>
        <w:rPr>
          <w:rFonts w:ascii="Calibri" w:hAnsi="Calibri"/>
        </w:rPr>
        <w:t>Tedarikçiye problem, gerekli koruma, raporlama yöntemi, sorumlu, yanıt/termin ve eskalasyon seviyesi yazılı bildirilir. Yanıt süreleri müşteri/sözleşme şartına göre kayda alınır.</w:t>
      </w:r>
    </w:p>
    <w:p>
      <w:pPr>
        <w:pStyle w:val="ListBullet"/>
      </w:pPr>
      <w:r>
        <w:rPr>
          <w:rFonts w:ascii="Calibri" w:hAnsi="Calibri"/>
        </w:rPr>
        <w:t>Ürün güvenliği/mevzuat veya yakın müşteri duruşunda seviye sırası beklenmeden Fabrika Yöneticisi ve yetkili müşteri irtibatı bilgilendirilir.</w:t>
      </w:r>
    </w:p>
    <w:p>
      <w:pPr>
        <w:pStyle w:val="Heading1"/>
      </w:pPr>
      <w:r>
        <w:rPr>
          <w:rFonts w:ascii="Calibri" w:hAnsi="Calibri"/>
        </w:rPr>
        <w:t>3 Eskalasyon seviyeleri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7"/>
        <w:gridCol w:w="2697"/>
        <w:gridCol w:w="4584"/>
      </w:tblGrid>
      <w:tr>
        <w:trPr>
          <w:tblHeader/>
          <w:cantSplit/>
        </w:trPr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Seviye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Tetikleyici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Zorunlu aksiyon ve yetki</w:t>
            </w:r>
          </w:p>
        </w:tc>
      </w:tr>
      <w:tr>
        <w:trPr>
          <w:cantSplit/>
        </w:trPr>
        <w:tc>
          <w:tcPr>
            <w:tcW w:type="dxa" w:w="26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E1 – İyileştirme</w:t>
            </w:r>
          </w:p>
        </w:tc>
        <w:tc>
          <w:tcPr>
            <w:tcW w:type="dxa" w:w="26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Tanımlı KPI eşiği aşılır veya tekil kalite/teslimat sapması oluşur.</w:t>
            </w:r>
          </w:p>
        </w:tc>
        <w:tc>
          <w:tcPr>
            <w:tcW w:type="dxa" w:w="4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Satınalma/Kalite: kayıt açar; kapsamı ve korumayı doğrular; tedarikçi faaliyet planı, ölçüt ve gözden geçirme tarihi ister.</w:t>
            </w:r>
          </w:p>
        </w:tc>
      </w:tr>
      <w:tr>
        <w:trPr>
          <w:cantSplit/>
        </w:trPr>
        <w:tc>
          <w:tcPr>
            <w:tcW w:type="dxa" w:w="26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E2 – Kontrollü tedarik</w:t>
            </w:r>
          </w:p>
        </w:tc>
        <w:tc>
          <w:tcPr>
            <w:tcW w:type="dxa" w:w="26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Sapma tekrar eder; koruma güvenilir değildir; termin/kalıcı faaliyet tutulmaz veya açık kapasite riski vardır.</w:t>
            </w:r>
          </w:p>
        </w:tc>
        <w:tc>
          <w:tcPr>
            <w:tcW w:type="dxa" w:w="4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+ Satınalma + Lojistik: risk bazlı sıklaştırılmış kontrol/kontrollü sevk, tedarikçi saha desteği/denetimi, stok ve kapasite güvence planı uygular.</w:t>
            </w:r>
          </w:p>
        </w:tc>
      </w:tr>
      <w:tr>
        <w:trPr>
          <w:cantSplit/>
        </w:trPr>
        <w:tc>
          <w:tcPr>
            <w:tcW w:type="dxa" w:w="26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E3 – Yönetim / kritik kaynak</w:t>
            </w:r>
          </w:p>
        </w:tc>
        <w:tc>
          <w:tcPr>
            <w:tcW w:type="dxa" w:w="26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etkisi/güvenlik şüphesi, etkisiz E2, kabul edilemeyen risk veya tedarik sürekliliği tehdidi vardır.</w:t>
            </w:r>
          </w:p>
        </w:tc>
        <w:tc>
          <w:tcPr>
            <w:tcW w:type="dxa" w:w="4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Fabrika Yöneticisi: üst yönetim görüşmesi, özel destek, yeni iş kısıtı veya kaynak değişikliği kararını verir. Gerekli müşteri onayı ve yeniden yeterlilik tamamlanmadan alternatif kaynak kullanılmaz.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 Tedarikçi desteği ve takip</w:t>
      </w:r>
    </w:p>
    <w:p>
      <w:pPr>
        <w:pStyle w:val="ListBullet"/>
      </w:pPr>
      <w:r>
        <w:rPr>
          <w:rFonts w:ascii="Calibri" w:hAnsi="Calibri"/>
        </w:rPr>
        <w:t>Tedarikçi kök neden çalışmasında oluşum, kaçış ve sistem nedenlerini ayırır. Koruma, kalıcı faaliyet ve etkinlik planı Ekol Glass tarafından kanıt üzerinden gözden geçirilir.</w:t>
      </w:r>
    </w:p>
    <w:p>
      <w:pPr>
        <w:pStyle w:val="ListBullet"/>
      </w:pPr>
      <w:r>
        <w:rPr>
          <w:rFonts w:ascii="Calibri" w:hAnsi="Calibri"/>
        </w:rPr>
        <w:t>Giriş kontrolü numune/frekansı; şikâyet, tekrarlama, performans kötüleşmesi ve proaktif çevrelemeye göre Kalite tarafından güncellenir. Teknik limit kontrol planı/PIS’e dayanır.</w:t>
      </w:r>
    </w:p>
    <w:p>
      <w:pPr>
        <w:pStyle w:val="ListBullet"/>
      </w:pPr>
      <w:r>
        <w:rPr>
          <w:rFonts w:ascii="Calibri" w:hAnsi="Calibri"/>
        </w:rPr>
        <w:t>Ekol Glass desteği; tedarikçi kalite/proses uzmanı ziyareti, ölçüm doğrulaması, kapasite planı, eğitim, PFMEA/kontrol planı incelemesi veya özel proses denetimi olarak planlanır.</w:t>
      </w:r>
    </w:p>
    <w:p>
      <w:pPr>
        <w:pStyle w:val="ListBullet"/>
      </w:pPr>
      <w:r>
        <w:rPr>
          <w:rFonts w:ascii="Calibri" w:hAnsi="Calibri"/>
        </w:rPr>
        <w:t>Her görüşmede açık risk, sahip, termin, kanıt ve sonraki rapor zamanı güncellenir. Geciken faaliyet aynı seviyede gerekçesiz uzatılmaz; seviye ve müşteri etkisi yeniden değerlendirilir.</w:t>
      </w:r>
    </w:p>
    <w:p>
      <w:pPr>
        <w:pStyle w:val="ListBullet"/>
      </w:pPr>
      <w:r>
        <w:rPr>
          <w:rFonts w:ascii="Calibri" w:hAnsi="Calibri"/>
        </w:rPr>
        <w:t>Kritik tedarikçi kaydı yalnız doğrulanmış risk veya olaya dayanarak aşağıdaki listeye alınır; tüm ayrıntılar uygunsuzluk ve güvence planı kayıtlarına bağlanır.</w:t>
      </w:r>
    </w:p>
    <w:p>
      <w:pPr>
        <w:pStyle w:val="Heading1"/>
      </w:pPr>
      <w:r>
        <w:rPr>
          <w:rFonts w:ascii="Calibri" w:hAnsi="Calibri"/>
        </w:rPr>
        <w:t>5 Kritik tedarikçi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7"/>
        <w:gridCol w:w="1326"/>
        <w:gridCol w:w="1326"/>
        <w:gridCol w:w="1691"/>
        <w:gridCol w:w="2160"/>
        <w:gridCol w:w="1878"/>
      </w:tblGrid>
      <w:tr>
        <w:trPr>
          <w:tblHeader/>
          <w:cantSplit/>
        </w:trPr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Tedarikçi / tesis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Parça / proses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Olay / seviye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Koruma ve kayıt no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 / sonraki rapor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Çıkış kararı / tarih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6 Çıkış ve normal izlemeye dönüş</w:t>
      </w:r>
    </w:p>
    <w:p>
      <w:pPr>
        <w:pStyle w:val="ListBullet"/>
      </w:pPr>
      <w:r>
        <w:rPr>
          <w:rFonts w:ascii="Calibri" w:hAnsi="Calibri"/>
        </w:rPr>
        <w:t>Çıkış ölçütleri eskalasyon açılışında yazılı belirlenir: koruma doğrulaması, kök neden/kalıcı faaliyet, hedeflere dönüş, kanıt izleme dönemi, açık müşteri şartları ve doküman güncellemeleri.</w:t>
      </w:r>
    </w:p>
    <w:p>
      <w:pPr>
        <w:pStyle w:val="ListBullet"/>
      </w:pPr>
      <w:r>
        <w:rPr>
          <w:rFonts w:ascii="Calibri" w:hAnsi="Calibri"/>
        </w:rPr>
        <w:t>Yalnız tedarikçinin “tamamlandı” beyanı veya tek uygun sevkiyat çıkış kanıtı sayılmaz. Kararlaştırılan dönem ve kapsam için etkinlik ve ürün/teslimat sonuçları doğrulanır.</w:t>
      </w:r>
    </w:p>
    <w:p>
      <w:pPr>
        <w:pStyle w:val="ListBullet"/>
      </w:pPr>
      <w:r>
        <w:rPr>
          <w:rFonts w:ascii="Calibri" w:hAnsi="Calibri"/>
        </w:rPr>
        <w:t>Kalite ve Lojistik kendi alanının çıkış uygunluğunu kaydeder. E3 çıkışı Fabrika Yöneticisi; müşteri kontrollü süreçten çıkış gerekli müşteri yetkilisi tarafından karara bağlanır.</w:t>
      </w:r>
    </w:p>
    <w:p>
      <w:pPr>
        <w:pStyle w:val="ListBullet"/>
      </w:pPr>
      <w:r>
        <w:rPr>
          <w:rFonts w:ascii="Calibri" w:hAnsi="Calibri"/>
        </w:rPr>
        <w:t>İlave giriş kontrolü ve kontrollü sevk, kayıtlı çıkış kararı olmadan kaldırılmaz. Tekrarda önceki problem çözme dosyası yeniden açılır; risk, denetim ve yeterlilik planı güncellenir.</w:t>
      </w:r>
    </w:p>
    <w:p>
      <w:pPr>
        <w:pStyle w:val="Heading1"/>
      </w:pPr>
      <w:r>
        <w:rPr>
          <w:rFonts w:ascii="Calibri" w:hAnsi="Calibri"/>
        </w:rPr>
        <w:t>7 Kayıtların korunması</w:t>
      </w:r>
    </w:p>
    <w:p>
      <w:r>
        <w:rPr>
          <w:rFonts w:ascii="Calibri" w:hAnsi="Calibri"/>
        </w:rPr>
        <w:t>Uygunsuzluk, hedef/gerçekleşen, tedarikçi cevabı, destek/denetim, kontrol seviyesi, karar ve çıkış kanıtları tedarikçi/olay numarasıyla ilişkilendirilir. Tedarikçi onaylı listesi ve ilgili üretim tesisi statüsü eş zamanlı güncellenir.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EKG-STN-FRM-05 / EKG-STN-FRM-04 / EKG-STN-PLN-01 / EKG-STN-PLN-02 / EKG-STN-MTR-02 / EKG-STN-PLN-04 / EKG-YNT-MTR-04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EKG-STN-PRS-02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EKG-STN-PRS-02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Tedarikçi Eskalasyon Prosedürü ve Kritik Tedarikçi Listesi</dc:title>
  <dc:subject>EKG-STN-PRS-02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