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Dış Kaynak Toz Boyaya Sevk ve Parti Takip Talimatı</w:t>
      </w:r>
    </w:p>
    <w:p>
      <w:pPr>
        <w:pStyle w:val="Heading1"/>
      </w:pPr>
      <w:r>
        <w:rPr>
          <w:rFonts w:ascii="Calibri" w:hAnsi="Calibri"/>
        </w:rPr>
        <w:t>1 Amaç, kapsam ve görevler</w:t>
      </w:r>
    </w:p>
    <w:p>
      <w:r>
        <w:rPr>
          <w:rFonts w:ascii="Calibri" w:hAnsi="Calibri"/>
        </w:rPr>
        <w:t>Dış toz boyaya giden profil/yarı mamulün kimliğini, miktarını, proses lotunu ve geri kabulünü izlemek. Planlama/Lojistik sevk ve miktar kaydını; Depo koruma/etiketi; Kalite teknik kabul ve ürün kararını; tedarikçi kendi proses/boya lot ve uygunluk kanıtını yönetir.</w:t>
      </w:r>
    </w:p>
    <w:p>
      <w:pPr>
        <w:pStyle w:val="Heading1"/>
      </w:pPr>
      <w:r>
        <w:rPr>
          <w:rFonts w:ascii="Calibri" w:hAnsi="Calibri"/>
        </w:rPr>
        <w:t>2 Sevk hazırlığı</w:t>
      </w:r>
    </w:p>
    <w:p>
      <w:r>
        <w:rPr>
          <w:rFonts w:ascii="Calibri" w:hAnsi="Calibri"/>
        </w:rPr>
        <w:t>Ürün/parça, teknik revizyon, Ekol lotu/üretim emri, miktar/birim ve sevk hareket numarası EKG-STN-FRM-08’e işlenir. Profilin sevke uygunluğu ve yüzey hasarı kontrol edilir.</w:t>
      </w:r>
    </w:p>
    <w:p>
      <w:r>
        <w:rPr>
          <w:rFonts w:ascii="Calibri" w:hAnsi="Calibri"/>
        </w:rPr>
        <w:t>Fason siparişte renk/parlaklık, kaplama/ön işlem, maskeleme ve diğer ürün şartları geçerli teknik kaynak/revizyonla belirtilir. Tedarikçi ve proses onayı EKG-STN-PLN-04’e göre doğrulanır; şartlar EKG-STN-FRM-06 ile aktarılır.</w:t>
      </w:r>
    </w:p>
    <w:p>
      <w:r>
        <w:rPr>
          <w:rFonts w:ascii="Calibri" w:hAnsi="Calibri"/>
        </w:rPr>
        <w:t>Ayırıcı, destek ve bağlama ürünün onaylı ambalaj şartına göre seçilir. Her paket Ekol lotu, parça/revizyon, miktar, sevk hareketi ve gerekli proses bilgisiyle tanımlanır; sevk belgesiyle eşleştirilir.</w:t>
      </w:r>
    </w:p>
    <w:p>
      <w:pPr>
        <w:pStyle w:val="Heading1"/>
      </w:pPr>
      <w:r>
        <w:rPr>
          <w:rFonts w:ascii="Calibri" w:hAnsi="Calibri"/>
        </w:rPr>
        <w:t>3 Tedarikçi proses ve lot takibi</w:t>
      </w:r>
    </w:p>
    <w:p>
      <w:r>
        <w:rPr>
          <w:rFonts w:ascii="Calibri" w:hAnsi="Calibri"/>
        </w:rPr>
        <w:t>Ekol girdi lotu; tedarikçi proses/çevrim, boya/kimyasal ve dönen alt lotlarla eşleştirilir. Lot bölünmesi, birleşmesi ve yeniden boya/işlemde ilk ilişki silinmez.</w:t>
      </w:r>
    </w:p>
    <w:p>
      <w:r>
        <w:rPr>
          <w:rFonts w:ascii="Calibri" w:hAnsi="Calibri"/>
        </w:rPr>
        <w:t>Ön işlem, uygulama ve kürleme gibi gerekli proses kayıtları, parametreler ve test kanıtları tedarikçiyle kararlaştırılan kapsamda alınır. İstenmeyen ya da uygunluğu doğrulanmamış kimyasal sökme/yeniden boya işlemi uygulanmaz; gerekli teknik ve müşteri onayı alınır.</w:t>
      </w:r>
    </w:p>
    <w:p>
      <w:pPr>
        <w:pStyle w:val="Heading1"/>
      </w:pPr>
      <w:r>
        <w:rPr>
          <w:rFonts w:ascii="Calibri" w:hAnsi="Calibri"/>
        </w:rPr>
        <w:t>4 Dönüş ve teknik kabul</w:t>
      </w:r>
    </w:p>
    <w:p>
      <w:r>
        <w:rPr>
          <w:rFonts w:ascii="Calibri" w:hAnsi="Calibri"/>
        </w:rPr>
        <w:t>Dönen ürün kalite kararı verilene kadar bekletilir. Sevk, dönen, tedarikçide kalan ve hurda miktarlar belge ve gerçek sayımla mutabık hale getirilir. Lot kimliği/proses kaydı belirsiz ürün serbest bırakılmaz.</w:t>
      </w:r>
    </w:p>
    <w:p>
      <w:r>
        <w:rPr>
          <w:rFonts w:ascii="Calibri" w:hAnsi="Calibri"/>
        </w:rPr>
        <w:t>Görünüş, renk/parlaklık, kalınlık, yapışma ve gereken diğer testler EKG-STN-PLN-04’teki onaylı metot, limit, numune/frekans ve cihazla uygulanır. AQL kullanılıyorsa standart/sürüm, muayene seviyesi, lot büyüklüğü, numune ve kabul/ret sayıları birlikte tanımlanır. Kaynaksız tek AQL değeriyle numune seçilmez.</w:t>
      </w:r>
    </w:p>
    <w:p>
      <w:r>
        <w:rPr>
          <w:rFonts w:ascii="Calibri" w:hAnsi="Calibri"/>
        </w:rPr>
        <w:t>Gerçek sonuç ve kaynak kaydedilir. Test yöntemi, kabul sınıfı, bakış koşulu veya ölçüm limiti müşteri şartı/teknik kaynak olmadan varsayılmaz. Görsel kontrol özel proses yeterlilik kanıtının yerine geçmez.</w:t>
      </w:r>
    </w:p>
    <w:p>
      <w:pPr>
        <w:pStyle w:val="Heading1"/>
      </w:pPr>
      <w:r>
        <w:rPr>
          <w:rFonts w:ascii="Calibri" w:hAnsi="Calibri"/>
        </w:rPr>
        <w:t>5 Uygunsuzluk ve serbest bırakma</w:t>
      </w:r>
    </w:p>
    <w:p>
      <w:r>
        <w:rPr>
          <w:rFonts w:ascii="Calibri" w:hAnsi="Calibri"/>
        </w:rPr>
        <w:t>Uygunsuz/şüpheli lot ayrılır; EKG-STN-FRM-04 ile kapsam, koruma ve tedarikçi bildirimi yönetilir. Bildirim/yanıt süresi geçerli müşteri/sözleşme şartına göre belirlenir.</w:t>
      </w:r>
    </w:p>
    <w:p>
      <w:r>
        <w:rPr>
          <w:rFonts w:ascii="Calibri" w:hAnsi="Calibri"/>
        </w:rPr>
        <w:t>Yeniden işlem talimatı ve onaylar kayıtlı olur; eski/yeni lot ilişkisi korunur ve etkilenen kontroller tekrarlanır. Kalite gerçek kabul sonuçları, lot eşleşmesi, miktar ve gerekli onayları doğruladıktan sonra ürün kararını EKG-STN-FRM-08’e işler.</w:t>
      </w:r>
    </w:p>
    <w:p>
      <w:pPr>
        <w:pStyle w:val="Heading1"/>
      </w:pPr>
      <w:r>
        <w:rPr>
          <w:rFonts w:ascii="Calibri" w:hAnsi="Calibri"/>
        </w:rPr>
        <w:t>6 İlgili kayıtlar</w:t>
      </w:r>
    </w:p>
    <w:p>
      <w:r>
        <w:rPr>
          <w:rFonts w:ascii="Calibri" w:hAnsi="Calibri"/>
        </w:rPr>
        <w:t>EKG-STN-FRM-08 / EKG-STN-PLN-04 / EKG-STN-FRM-04 / EKG-STN-FRM-06 / EKG-STN-STD-01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EKG-STN-TLM-02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EKG-STN-TLM-02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Dış Kaynak Toz Boyaya Sevk ve Parti Takip Talimatı</dc:title>
  <dc:subject>EKG-STN-TLM-02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