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Ürün Onay Prosedürü (PPAP / Stellantis PPQ)</w:t>
      </w:r>
    </w:p>
    <w:p>
      <w:pPr>
        <w:pStyle w:val="Title"/>
      </w:pPr>
      <w:r>
        <w:rPr>
          <w:rFonts w:ascii="Calibri" w:hAnsi="Calibri"/>
        </w:rPr>
        <w:t>Ürün Onay Prosedürü PPAP Stellantis PPQ</w:t>
      </w:r>
    </w:p>
    <w:p>
      <w:r>
        <w:rPr>
          <w:rFonts w:ascii="Calibri" w:hAnsi="Calibri"/>
        </w:rPr>
        <w:t>Yeni veya değişen ürün ve prosesin PPQ öz değerlendirmesinden müşteri PPAP kararına ve seri üretime devrine kadar ürün onayını yönetir.</w:t>
      </w:r>
    </w:p>
    <w:p>
      <w:pPr>
        <w:pStyle w:val="Heading1"/>
      </w:pPr>
      <w:r>
        <w:rPr>
          <w:rFonts w:ascii="Calibri" w:hAnsi="Calibri"/>
        </w:rPr>
        <w:t>1 Başlatma ve sorumluluk</w:t>
      </w:r>
    </w:p>
    <w:p>
      <w:r>
        <w:rPr>
          <w:rFonts w:ascii="Calibri" w:hAnsi="Calibri"/>
        </w:rPr>
        <w:t>Proje Yöneticisi; yeni parça, tasarım / malzeme / tedarikçi değişikliği, proses transferi veya müşteri onayını etkileyen değişiklikte onay kapsamını Kalite ile belirler. Ürün onayı gereği ve sunum seviyesi güncel müşteri APQP / PPAP talebinden doğrulanır.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Proje Yönetimi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kapı, teslimat ve parça olgunluk takvimini yönetir; gecikmeyi eskale eder.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/ Proje Kalite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PPQ ve PPAP kanıtlarını kontrol eder; resmi müşteri kanalına sunumu ve müşteri kararını izler.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Proses / Üretim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Nihai seri ekipman, deneme, kapasite ve proses yeterliliği kayıtlarını sağlar.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Satınalma / Tedarikçi Kalite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Tier-2 ve dış kaynak proseslerin onayını ve sapmalarını takip eder.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Laboratuvar / Metroloji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Test, kalibrasyon ve ölçüm sistemi yeterlilik kanıtını sağlar.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2 Plan ve PPQ öz değerlendirmesi</w:t>
      </w:r>
    </w:p>
    <w:p>
      <w:pPr>
        <w:pStyle w:val="ListBullet"/>
      </w:pPr>
      <w:r>
        <w:rPr>
          <w:rFonts w:ascii="Calibri" w:hAnsi="Calibri"/>
        </w:rPr>
        <w:t>Parça no, çizim / BOM / PIS revizyonu, müşteri kapısı, teslimat tarihi ve gerekli onay koşulları EKG-PRJ-FRM-13 ve EKG-PRJ-FRM-23’e kaydedilir.</w:t>
      </w:r>
    </w:p>
    <w:p>
      <w:pPr>
        <w:pStyle w:val="ListBullet"/>
      </w:pPr>
      <w:r>
        <w:rPr>
          <w:rFonts w:ascii="Calibri" w:hAnsi="Calibri"/>
        </w:rPr>
        <w:t>PPQ öz değerlendirmesi her gerekli kapıda müşterinin güncel değerlendirme formuyla yapılır. Resmi formun sürümü, değerlendiren yetkinliği, bulgular ve aksiyonlar izlenir.</w:t>
      </w:r>
    </w:p>
    <w:p>
      <w:pPr>
        <w:pStyle w:val="ListBullet"/>
      </w:pPr>
      <w:r>
        <w:rPr>
          <w:rFonts w:ascii="Calibri" w:hAnsi="Calibri"/>
        </w:rPr>
        <w:t>Gerekli proses özel tetkikleri, AQR şartları, izinli yeniden işlem ve baypaslar kapsama alınır.</w:t>
      </w:r>
    </w:p>
    <w:p>
      <w:pPr>
        <w:pStyle w:val="ListBullet"/>
      </w:pPr>
      <w:r>
        <w:rPr>
          <w:rFonts w:ascii="Calibri" w:hAnsi="Calibri"/>
        </w:rPr>
        <w:t>Akış, PFMEA, kontrol planı, iş talimatı ve PIS revizyon / karakteristik bağlantıları doğrulanır. Tesis ve tüm dış kaynak prosesleri aynı onay kapsamına dahil edilir.</w:t>
      </w:r>
    </w:p>
    <w:p>
      <w:pPr>
        <w:pStyle w:val="Heading1"/>
      </w:pPr>
      <w:r>
        <w:rPr>
          <w:rFonts w:ascii="Calibri" w:hAnsi="Calibri"/>
        </w:rPr>
        <w:t>3 Önkoşullar ve kanıt</w:t>
      </w:r>
    </w:p>
    <w:p>
      <w:pPr>
        <w:pStyle w:val="ListBullet"/>
      </w:pPr>
      <w:r>
        <w:rPr>
          <w:rFonts w:ascii="Calibri" w:hAnsi="Calibri"/>
        </w:rPr>
        <w:t>Tier-2 bileşen ve dış kaynak toz boya onayları üst proses onayından önce tamamlanır. Eksikte gerekli yetkili sapma onayı, kapsam / süre / miktar sınırı ve ek koruma kaydı olmadan onay var sayılmaz.</w:t>
      </w:r>
    </w:p>
    <w:p>
      <w:pPr>
        <w:pStyle w:val="ListBullet"/>
      </w:pPr>
      <w:r>
        <w:rPr>
          <w:rFonts w:ascii="Calibri" w:hAnsi="Calibri"/>
        </w:rPr>
        <w:t>Nihai seri ekipman, takım, fikstür, yerleşim, malzeme, operatör ve proses koşullarında doğrulama yapılır; farklılıklar rapora yazılır.</w:t>
      </w:r>
    </w:p>
    <w:p>
      <w:pPr>
        <w:pStyle w:val="ListBullet"/>
      </w:pPr>
      <w:r>
        <w:rPr>
          <w:rFonts w:ascii="Calibri" w:hAnsi="Calibri"/>
        </w:rPr>
        <w:t>Boyutsal / fonksiyonel uygunluk, ürün / malzeme testleri, ölçüm sistemi ve proses yeterlilikleri onaylı müşteri yöntem ve kabul şartına göre değerlendirilir. Kapasite ve ambalaj / lojistik kanıtı tamamlanır.</w:t>
      </w:r>
    </w:p>
    <w:p>
      <w:pPr>
        <w:pStyle w:val="ListBullet"/>
      </w:pPr>
      <w:r>
        <w:rPr>
          <w:rFonts w:ascii="Calibri" w:hAnsi="Calibri"/>
        </w:rPr>
        <w:t>MSA yönteminin ve proses yeterlilik hedeflerinin proje başında geçerli QRS / PIS ile netleşmesi sağlanır. Bölge / ürün ailesine bağlı hedeflerden biri varsayımla seçilmez.</w:t>
      </w:r>
    </w:p>
    <w:p>
      <w:pPr>
        <w:pStyle w:val="ListBullet"/>
      </w:pPr>
      <w:r>
        <w:rPr>
          <w:rFonts w:ascii="Calibri" w:hAnsi="Calibri"/>
        </w:rPr>
        <w:t>Numune adedi, seri lot dağılımı, cihaz kimliği, ham veri ve rapor numarası ilgili test kaydında bulunur. Uzun dönem yeterlilik kanıtı müşteri takviminde SOP öncesi gereken aşamada tamamlanır.</w:t>
      </w:r>
    </w:p>
    <w:p>
      <w:pPr>
        <w:pStyle w:val="Heading1"/>
      </w:pPr>
      <w:r>
        <w:rPr>
          <w:rFonts w:ascii="Calibri" w:hAnsi="Calibri"/>
        </w:rPr>
        <w:t>4 PPAP sunumu ve müşteri kararı</w:t>
      </w:r>
    </w:p>
    <w:p>
      <w:pPr>
        <w:pStyle w:val="ListBullet"/>
      </w:pPr>
      <w:r>
        <w:rPr>
          <w:rFonts w:ascii="Calibri" w:hAnsi="Calibri"/>
        </w:rPr>
        <w:t>Kalite, müşteri sunum seviyesine göre dosya bütünlüğünü EKG-PRJ-FRM-13 ile kontrol eder; uygulanmayan teslimatın gerekçesi ve gerekli müşteri mutabakatını kaydeder.</w:t>
      </w:r>
    </w:p>
    <w:p>
      <w:pPr>
        <w:pStyle w:val="ListBullet"/>
      </w:pPr>
      <w:r>
        <w:rPr>
          <w:rFonts w:ascii="Calibri" w:hAnsi="Calibri"/>
        </w:rPr>
        <w:t>PPAP dosyası ve resmi PSW / Parça Sunum Garantisi müşterinin geçerli form ve kanalıyla sunulur. Yerel indeks EKG-PRJ-FRM-23 ile sunulan dosyaların revizyonu, tarih ve referansı korunur.</w:t>
      </w:r>
    </w:p>
    <w:p>
      <w:pPr>
        <w:pStyle w:val="ListBullet"/>
      </w:pPr>
      <w:r>
        <w:rPr>
          <w:rFonts w:ascii="Calibri" w:hAnsi="Calibri"/>
        </w:rPr>
        <w:t xml:space="preserve">Müşteri kararı yazılı yetkili kaynak üzerinden kaydedilir. Kabul, koşullu / geçici kabul, ret ve beklemede durumları ayrılır; ürün / teknik revizyon, üretim tesisi, proses / dış proses, lot ve süre-miktar sınırı izlenir.</w:t>
      </w:r>
    </w:p>
    <w:p>
      <w:pPr>
        <w:pStyle w:val="ListBullet"/>
      </w:pPr>
      <w:r>
        <w:rPr>
          <w:rFonts w:ascii="Calibri" w:hAnsi="Calibri"/>
        </w:rPr>
        <w:t>Eksik veya ret kararı için koruma ve düzeltme uygulanır; değişen kanıt revizyonuyla tekrar sunulur. İç dosya kontrolü, sunumun yapılması veya sessiz kalınması müşteri onayı değildir.</w:t>
      </w:r>
    </w:p>
    <w:p>
      <w:pPr>
        <w:pStyle w:val="Heading1"/>
      </w:pPr>
      <w:r>
        <w:rPr>
          <w:rFonts w:ascii="Calibri" w:hAnsi="Calibri"/>
        </w:rPr>
        <w:t>5 Üretime devir ve değişiklik</w:t>
      </w:r>
    </w:p>
    <w:p>
      <w:pPr>
        <w:pStyle w:val="ListBullet"/>
      </w:pPr>
      <w:r>
        <w:rPr>
          <w:rFonts w:ascii="Calibri" w:hAnsi="Calibri"/>
        </w:rPr>
        <w:t>Müşteri onayı / geçerli izin kapsamı doğrulanarak Kalite, Üretim ve Proje seri üretime devri değerlendirir. Geçerli ürün / proses revizyonu, onaylı parametre, kontrol planı, eğitim ve açık madde listesi tesise devredilir.</w:t>
      </w:r>
    </w:p>
    <w:p>
      <w:pPr>
        <w:pStyle w:val="ListBullet"/>
      </w:pPr>
      <w:r>
        <w:rPr>
          <w:rFonts w:ascii="Calibri" w:hAnsi="Calibri"/>
        </w:rPr>
        <w:t>Güvenli lansman ayrıca uygulanır. PPAP kabul durumu tek başına güçlendirilmiş kontrolden çıkış sağlamaz.</w:t>
      </w:r>
    </w:p>
    <w:p>
      <w:pPr>
        <w:pStyle w:val="ListBullet"/>
      </w:pPr>
      <w:r>
        <w:rPr>
          <w:rFonts w:ascii="Calibri" w:hAnsi="Calibri"/>
        </w:rPr>
        <w:t>Onaylı şartları etkileyen değişiklikte sevkiyat kararı verilmeden müşteri bildirim / yeniden PPAP gereği belirlenir; önceki sunum, karar ve yeni revizyon arasındaki bağ korunur.</w:t>
      </w:r>
    </w:p>
    <w:p>
      <w:pPr>
        <w:pStyle w:val="ListBullet"/>
      </w:pPr>
      <w:r>
        <w:rPr>
          <w:rFonts w:ascii="Calibri" w:hAnsi="Calibri"/>
        </w:rPr>
        <w:t>Onay dosyası, resmi karar, sapma izni, ham test verisi ve devir kayıtları doküman saklama planına göre parça / revizyon bazında erişilebilir tutulur.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EKG-PRJ-FRM-13 / EKG-PRJ-FRM-23 / EKG-PRJ-FRM-02 / EKG-PRJ-PLN-05 / EKG-PRJ-FRM-21 / EKG-STN-MTR-02 / EKG-PRJ-FRM-22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EKG-PRJ-PRS-04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EKG-PRJ-PRS-04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Ürün Onay Prosedürü (PPAP / Stellantis PPQ)</dc:title>
  <dc:subject>EKG-PRJ-PRS-04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