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Ekipman ve Takım Kabul (Yeterlilik) Prosedürü</w:t>
      </w:r>
    </w:p>
    <w:p>
      <w:pPr>
        <w:pStyle w:val="Title"/>
      </w:pPr>
      <w:r>
        <w:rPr>
          <w:rFonts w:ascii="Calibri" w:hAnsi="Calibri"/>
        </w:rPr>
        <w:t>Ekipman ve Takım Kabul Yeterlilik Prosedürü</w:t>
      </w:r>
    </w:p>
    <w:p>
      <w:r>
        <w:rPr>
          <w:rFonts w:ascii="Calibri" w:hAnsi="Calibri"/>
        </w:rPr>
        <w:t>Yeni, yenilenmiş, taşınmış veya prosesi etkileyen değişiklik görmüş ekipman, takım, fikstür ve kontrol cihazının kullanım kabulünü yönetir.</w:t>
      </w:r>
    </w:p>
    <w:p>
      <w:pPr>
        <w:pStyle w:val="Heading1"/>
      </w:pPr>
      <w:r>
        <w:rPr>
          <w:rFonts w:ascii="Calibri" w:hAnsi="Calibri"/>
        </w:rPr>
        <w:t>1 Sorumluluklar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Proses Mühendisliği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Teknik şartnameyi, kabul planını ve nihai yerleşim koşullarını belirler; denemeyi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Bakım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Kurulum, güvenli çalışma, bakım, yedek parça ve teknik dosya bütünlüğünü doğrular.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/ Metroloji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Karakteristik, ölçüm cihazı, kalibrasyon, MSA ve yeterlilik kanıtını değerlendirir.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Seri malzeme, operatör, vardiya ve iş talimatı ile denemeyi gerçekleştirir.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Tesis Yönetimi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Kapsamı ve açık maddeleri değerlendirerek iç kullanım kararını onaylar.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Kabulün başlatılması</w:t>
      </w:r>
    </w:p>
    <w:p>
      <w:pPr>
        <w:pStyle w:val="ListBullet"/>
      </w:pPr>
      <w:r>
        <w:rPr>
          <w:rFonts w:ascii="Calibri" w:hAnsi="Calibri"/>
        </w:rPr>
        <w:t>Ekipman kimliği, seri no, takım / fikstür no, yazılım / reçete sürümü ve nihai konum EKG-PRJ-FRM-09’a kaydedilir.</w:t>
      </w:r>
    </w:p>
    <w:p>
      <w:pPr>
        <w:pStyle w:val="ListBullet"/>
      </w:pPr>
      <w:r>
        <w:rPr>
          <w:rFonts w:ascii="Calibri" w:hAnsi="Calibri"/>
        </w:rPr>
        <w:t xml:space="preserve">Teknik şartname, parça / çizim revizyonu, PIS, akış, PFMEA ve kontrol planı esas alınarak her testin kabul ölçütü, numunesi, yöntemi ve kanıtı tanımlanır. Kabul ölçütünün kaynak no, madde ve revizyonu raporda gösterilir.</w:t>
      </w:r>
    </w:p>
    <w:p>
      <w:pPr>
        <w:pStyle w:val="ListBullet"/>
      </w:pPr>
      <w:r>
        <w:rPr>
          <w:rFonts w:ascii="Calibri" w:hAnsi="Calibri"/>
        </w:rPr>
        <w:t>Ekipmanın üretilebilirlik, kapasite, kalite, karışma / atlama önleme ve bakım gerekleri 5M açısından incelenir.</w:t>
      </w:r>
    </w:p>
    <w:p>
      <w:pPr>
        <w:pStyle w:val="ListBullet"/>
      </w:pPr>
      <w:r>
        <w:rPr>
          <w:rFonts w:ascii="Calibri" w:hAnsi="Calibri"/>
        </w:rPr>
        <w:t>Tedarikçi yerindeki ön kabul nihai kabulün yerine geçmez; kabul nihai seri üretim konumunda doğrulanır.</w:t>
      </w:r>
    </w:p>
    <w:p>
      <w:pPr>
        <w:pStyle w:val="Heading1"/>
      </w:pPr>
      <w:r>
        <w:rPr>
          <w:rFonts w:ascii="Calibri" w:hAnsi="Calibri"/>
        </w:rPr>
        <w:t>3 Kurulum ve deneme</w:t>
      </w:r>
    </w:p>
    <w:p>
      <w:pPr>
        <w:pStyle w:val="ListBullet"/>
      </w:pPr>
      <w:r>
        <w:rPr>
          <w:rFonts w:ascii="Calibri" w:hAnsi="Calibri"/>
        </w:rPr>
        <w:t>Koruyucu, kilitleme, acil durdurma ve güvenli müdahale doğrulanmadan deneme başlatılmaz.</w:t>
      </w:r>
    </w:p>
    <w:p>
      <w:pPr>
        <w:pStyle w:val="ListBullet"/>
      </w:pPr>
      <w:r>
        <w:rPr>
          <w:rFonts w:ascii="Calibri" w:hAnsi="Calibri"/>
        </w:rPr>
        <w:t>Elektrik / mekanik dokümanlar, kullanım talimatı, bakım planı, kritik yedekler ve operatör eğitim kayıtları teslim alınır.</w:t>
      </w:r>
    </w:p>
    <w:p>
      <w:pPr>
        <w:pStyle w:val="ListBullet"/>
      </w:pPr>
      <w:r>
        <w:rPr>
          <w:rFonts w:ascii="Calibri" w:hAnsi="Calibri"/>
        </w:rPr>
        <w:t>Denemede gerçek seri malzeme, nihai takım, seri parametre / reçete, planlanan operatör ve kontrol yöntemi kullanılır. Koşul farklılığı rapora yazılır.</w:t>
      </w:r>
    </w:p>
    <w:p>
      <w:pPr>
        <w:pStyle w:val="ListBullet"/>
      </w:pPr>
      <w:r>
        <w:rPr>
          <w:rFonts w:ascii="Calibri" w:hAnsi="Calibri"/>
        </w:rPr>
        <w:t>Kesim / büküm fikstürü, işleme takımı, montaj düzeneği ve sızdırmazlık / ölçüm cihazının ilgili ürün şartlarını sağladığı test edilir; teknik limit çizim veya onaylı şartnameden alınır.</w:t>
      </w:r>
    </w:p>
    <w:p>
      <w:pPr>
        <w:pStyle w:val="ListBullet"/>
      </w:pPr>
      <w:r>
        <w:rPr>
          <w:rFonts w:ascii="Calibri" w:hAnsi="Calibri"/>
        </w:rPr>
        <w:t>Ölçüm cihazlarında kalibrasyon ve uygun MSA; yüksek etkili / özel karakteristiklerde müşteri yöntemine göre proses yeterliliği kontrol edilir.</w:t>
      </w:r>
    </w:p>
    <w:p>
      <w:pPr>
        <w:pStyle w:val="ListBullet"/>
      </w:pPr>
      <w:r>
        <w:rPr>
          <w:rFonts w:ascii="Calibri" w:hAnsi="Calibri"/>
        </w:rPr>
        <w:t>İyi ürün, hurda, yeniden işlem, duruş, net çalışma süresi ve çevrim verileri kaydedilir. Kapasite müşteri talebi, ürün karması ve onaylı çalışma düzeniyle karşılaştırılır.</w:t>
      </w:r>
    </w:p>
    <w:p>
      <w:pPr>
        <w:pStyle w:val="Heading1"/>
      </w:pPr>
      <w:r>
        <w:rPr>
          <w:rFonts w:ascii="Calibri" w:hAnsi="Calibri"/>
        </w:rPr>
        <w:t>4 Karar ve açık maddeler</w:t>
      </w:r>
    </w:p>
    <w:p>
      <w:r>
        <w:rPr>
          <w:rFonts w:ascii="Calibri" w:hAnsi="Calibri"/>
        </w:rPr>
        <w:t>Her kontrol uygun, uygunsuz veya gerekçeli uygulanmaz olarak kaydedilir. Kabul kararı yalnız rapor ve kanıtların teknik değerlendirmesinden sonra verilir.</w:t>
      </w:r>
    </w:p>
    <w:p>
      <w:pPr>
        <w:pStyle w:val="ListBullet"/>
      </w:pPr>
      <w:r>
        <w:rPr>
          <w:rFonts w:ascii="Calibri" w:hAnsi="Calibri"/>
        </w:rPr>
        <w:t>Kullanıma kabul: Kabul ölçütleri sağlanmış, teknik dosya ve yetkinlik kayıtları tamamdır. Kalite, Üretim ve Bakım görüşleriyle Tesis Yönetimi iç kullanım onayı verir.</w:t>
      </w:r>
    </w:p>
    <w:p>
      <w:pPr>
        <w:pStyle w:val="ListBullet"/>
      </w:pPr>
      <w:r>
        <w:rPr>
          <w:rFonts w:ascii="Calibri" w:hAnsi="Calibri"/>
        </w:rPr>
        <w:t>Sınırlı deneme izni: Açık maddeler için kapsam, miktar / süre sınırı, geçici kontrol, sorumlu ve kapanış tarihi yazılı tanımlanır. Bu izin müşteri ürün / sevkiyat onayı değildir.</w:t>
      </w:r>
    </w:p>
    <w:p>
      <w:pPr>
        <w:pStyle w:val="ListBullet"/>
      </w:pPr>
      <w:r>
        <w:rPr>
          <w:rFonts w:ascii="Calibri" w:hAnsi="Calibri"/>
        </w:rPr>
        <w:t>Bekletme: Güvenlik, özel karakteristik, ölçüm güvenilirliği veya seri ürün uygunluğunu etkileyen eksik kapatılmadan üretim kullanımı açılmaz.</w:t>
      </w:r>
    </w:p>
    <w:p>
      <w:pPr>
        <w:pStyle w:val="ListBullet"/>
      </w:pPr>
      <w:r>
        <w:rPr>
          <w:rFonts w:ascii="Calibri" w:hAnsi="Calibri"/>
        </w:rPr>
        <w:t>Uygunsuz testte etkilenen ürün ayrılır; düzeltme ve tekrar test raporu ilk raporla ilişkilendirilir. Müşteri onayı gereken değişiklik için yazılı onay alınır.</w:t>
      </w:r>
    </w:p>
    <w:p>
      <w:pPr>
        <w:pStyle w:val="Heading1"/>
      </w:pPr>
      <w:r>
        <w:rPr>
          <w:rFonts w:ascii="Calibri" w:hAnsi="Calibri"/>
        </w:rPr>
        <w:t>5 Devir ve yeniden kabul</w:t>
      </w:r>
    </w:p>
    <w:p>
      <w:pPr>
        <w:pStyle w:val="ListBullet"/>
      </w:pPr>
      <w:r>
        <w:rPr>
          <w:rFonts w:ascii="Calibri" w:hAnsi="Calibri"/>
        </w:rPr>
        <w:t>Onaylı parametreler, takım kimliği, kontrol planı, iş talimatı ve bakım planı kullanım noktasına aktarılır; eğitim tamamlanır.</w:t>
      </w:r>
    </w:p>
    <w:p>
      <w:pPr>
        <w:pStyle w:val="ListBullet"/>
      </w:pPr>
      <w:r>
        <w:rPr>
          <w:rFonts w:ascii="Calibri" w:hAnsi="Calibri"/>
        </w:rPr>
        <w:t xml:space="preserve">Ürün / proses değişikliği, ekipman taşıma, büyük bakım, takım revizyonu, yazılım / reçete değişikliği veya uygunluğu etkileyen arızada etki değerlendirmesi yapılır. Tekrar edilecek kabul testleri değişikliğin etkisiyle gerekçelendirilir; ilk ve tekrar rapor aynı ekipman/değişiklik kimliğine bağlanır.</w:t>
      </w:r>
    </w:p>
    <w:p>
      <w:pPr>
        <w:pStyle w:val="ListBullet"/>
      </w:pPr>
      <w:r>
        <w:rPr>
          <w:rFonts w:ascii="Calibri" w:hAnsi="Calibri"/>
        </w:rPr>
        <w:t>Kabul raporu, test ham verisi, cihaz / MSA belgeleri, kapasite kanıtı ve kapanış kayıtları ekipman teknik dosyasında ekipman kimliğiyle saklanır.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EKG-PRJ-FRM-09 / EKG-PRJ-PLN-05 / EKG-PRJ-FRM-21 / EKG-PRJ-FRM-02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EKG-PRJ-PRS-07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EKG-PRJ-PRS-07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Ekipman ve Takım Kabul (Yeterlilik) Prosedürü</dc:title>
  <dc:subject>EKG-PRJ-PRS-07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