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Özel Karakteristikler Yönetimi Prosedürü</w:t>
      </w:r>
    </w:p>
    <w:p>
      <w:r>
        <w:rPr>
          <w:rFonts w:ascii="Calibri" w:hAnsi="Calibri"/>
        </w:rPr>
        <w:t>Ürün ve proses özel karakteristiklerinin müşteri kaynağından tüm üretim ve alt tedarikçi kontrollerine aynı kimlikle aktarılmasını yönetir.</w:t>
      </w:r>
    </w:p>
    <w:p>
      <w:pPr>
        <w:pStyle w:val="Heading1"/>
      </w:pPr>
      <w:r>
        <w:rPr>
          <w:rFonts w:ascii="Calibri" w:hAnsi="Calibri"/>
        </w:rPr>
        <w:t>1 Kaynak ve sorumluluk</w:t>
      </w:r>
    </w:p>
    <w:p>
      <w:r>
        <w:rPr>
          <w:rFonts w:ascii="Calibri" w:hAnsi="Calibri"/>
        </w:rPr>
        <w:t>Proje Kalite ve Proses Mühendisliği; müşteri çizimi, PIS / PCP, teknik şartname ve ürün / proses risk analizlerinden özel karakteristikleri belirler. Ürün güvenliği / mevzuat gerekleri ayrıca incelenir. Müşteri sembolü, tanımı, karakteristik kodu ve revizyonu değiştirilmeden korunur.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Görev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Proje Kalite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Güncel karakteristik ana listesini ve müşteri teknik açıklama / onaylarını yönetir.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Proses / PFMEA Ekibi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Karakteristiği, etkileyen proses parametresini, risk ve kontrol bağlantılarını tanımlar.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Üretim / Lojistik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İş talimatı, reaksiyon, ambalaj ve etiketleme şartlarını uygular.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Tedarikçi Kalite / Satınalma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Gerekleri Tier-N seviyesine aktarır; onay ve kontrol kanıtlarını izler.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 Yöneticisi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Sistem bütünlüğünü, sapma korumasını ve değişiklik etkisini değerlendirir.</w:t>
            </w:r>
          </w:p>
        </w:tc>
      </w:tr>
    </w:tbl>
    <w:p>
      <w:pPr>
        <w:pStyle w:val="Heading1"/>
      </w:pPr>
      <w:r>
        <w:rPr>
          <w:rFonts w:ascii="Calibri" w:hAnsi="Calibri"/>
        </w:rPr>
        <w:t>2 Liste ve risk değerlendirmesi</w:t>
      </w:r>
    </w:p>
    <w:p>
      <w:pPr>
        <w:pStyle w:val="ListBullet"/>
      </w:pPr>
      <w:r>
        <w:rPr>
          <w:rFonts w:ascii="Calibri" w:hAnsi="Calibri"/>
        </w:rPr>
        <w:t>Her karakteristik için EKG-PRJ-LST-03 üzerinde parça / çizim revizyonu, kaynak madde, müşteri sembolü, ölçü / fonksiyon tanımı, limit / birim ve sorumlu operasyon kaydedilir.</w:t>
      </w:r>
    </w:p>
    <w:p>
      <w:pPr>
        <w:pStyle w:val="ListBullet"/>
      </w:pPr>
      <w:r>
        <w:rPr>
          <w:rFonts w:ascii="Calibri" w:hAnsi="Calibri"/>
        </w:rPr>
        <w:t>Güvenlik ve mevzuat karakteristikleri zorunlu özel karakteristik olarak ele alınır. Yerel riskle eklenen karakteristik müşteri tarafından tanımlanan karakteristikten ayrı kaynakla gösterilir.</w:t>
      </w:r>
    </w:p>
    <w:p>
      <w:pPr>
        <w:pStyle w:val="ListBullet"/>
      </w:pPr>
      <w:r>
        <w:rPr>
          <w:rFonts w:ascii="Calibri" w:hAnsi="Calibri"/>
        </w:rPr>
        <w:t>Karakteristik sınıfı ve risk puanı geçerli müşteri metoduna bağlanır. Eski proje sınıfı veya sembolü yeni projeye varsayımla taşınmaz.</w:t>
      </w:r>
    </w:p>
    <w:p>
      <w:pPr>
        <w:pStyle w:val="ListBullet"/>
      </w:pPr>
      <w:r>
        <w:rPr>
          <w:rFonts w:ascii="Calibri" w:hAnsi="Calibri"/>
        </w:rPr>
        <w:t>Karakteristiği etkileyen parametreler, dış kaynak prosesleri ve yeniden işlem adımları PFMEA ekibiyle değerlendirilir.</w:t>
      </w:r>
    </w:p>
    <w:p>
      <w:pPr>
        <w:pStyle w:val="Heading1"/>
      </w:pPr>
      <w:r>
        <w:rPr>
          <w:rFonts w:ascii="Calibri" w:hAnsi="Calibri"/>
        </w:rPr>
        <w:t>3 Doküman zinciri ve aktarım</w:t>
      </w:r>
    </w:p>
    <w:p>
      <w:pPr>
        <w:pStyle w:val="ListBullet"/>
      </w:pPr>
      <w:r>
        <w:rPr>
          <w:rFonts w:ascii="Calibri" w:hAnsi="Calibri"/>
        </w:rPr>
        <w:t>Akış operasyon numarası, PFMEA satırı, PIS / PCP karakteristik ID’si, kontrol planı satırı ve iş talimatı arasında doğrudan bağ kurulur.</w:t>
      </w:r>
    </w:p>
    <w:p>
      <w:pPr>
        <w:pStyle w:val="ListBullet"/>
      </w:pPr>
      <w:r>
        <w:rPr>
          <w:rFonts w:ascii="Calibri" w:hAnsi="Calibri"/>
        </w:rPr>
        <w:t>Karakteristik; seri akış, yeniden işlem / baypas, giriş kontrolü, ambalaj ve etiketleme dahil etkilenebilecek bütün adımlarda aynı sembol ve kimlikle gösterilir.</w:t>
      </w:r>
    </w:p>
    <w:p>
      <w:pPr>
        <w:pStyle w:val="ListBullet"/>
      </w:pPr>
      <w:r>
        <w:rPr>
          <w:rFonts w:ascii="Calibri" w:hAnsi="Calibri"/>
        </w:rPr>
        <w:t>Dış kaynak toz boya, satın alınan cam / profil veya diğer bileşende korunan özellik için müşteri şartı ve ilgili teknik revizyon tedarikçiye aktarılır; tebliğ ve kabul kanıtı alınır.</w:t>
      </w:r>
    </w:p>
    <w:p>
      <w:pPr>
        <w:pStyle w:val="ListBullet"/>
      </w:pPr>
      <w:r>
        <w:rPr>
          <w:rFonts w:ascii="Calibri" w:hAnsi="Calibri"/>
        </w:rPr>
        <w:t xml:space="preserve">Alt tedarikçide oluşturulan ve Ekol Glass proseslerinde tam doğrulanmayan geçiş karakteristikleri EKG-PRJ-LST-04 ile ayrı izlenir; kontrol yeri ve sıklığı gerçek risk ve doğrulama kapasitesine göre belirlenir.</w:t>
      </w:r>
    </w:p>
    <w:p>
      <w:pPr>
        <w:pStyle w:val="Heading1"/>
      </w:pPr>
      <w:r>
        <w:rPr>
          <w:rFonts w:ascii="Calibri" w:hAnsi="Calibri"/>
        </w:rPr>
        <w:t>4 Kontrol ve reaksiyon</w:t>
      </w:r>
    </w:p>
    <w:p>
      <w:pPr>
        <w:pStyle w:val="ListBullet"/>
      </w:pPr>
      <w:r>
        <w:rPr>
          <w:rFonts w:ascii="Calibri" w:hAnsi="Calibri"/>
        </w:rPr>
        <w:t>Kontrol yöntemi, cihaz, kalibrasyon / MSA, örneklem ve sıklık onaylı PIS / kontrol planından alınır; özel karakteristik için yeterlilik ihtiyacı ve hedef kaynağı belirlenir.</w:t>
      </w:r>
    </w:p>
    <w:p>
      <w:pPr>
        <w:pStyle w:val="ListBullet"/>
      </w:pPr>
      <w:r>
        <w:rPr>
          <w:rFonts w:ascii="Calibri" w:hAnsi="Calibri"/>
        </w:rPr>
        <w:t>Operatör karakteristiği, müşteri sembolünü ve uygunsuzlukta durdurma / ayırma / eskalasyon adımlarını bilir; eğitim ve yetki kaydı tutulur.</w:t>
      </w:r>
    </w:p>
    <w:p>
      <w:pPr>
        <w:pStyle w:val="ListBullet"/>
      </w:pPr>
      <w:r>
        <w:rPr>
          <w:rFonts w:ascii="Calibri" w:hAnsi="Calibri"/>
        </w:rPr>
        <w:t>Yetersiz proses veya uygunsuz ölçüm sisteminde etkilenen lot bloke edilir; risk değerlendirmesi, doğrulanmış ek kontrol ve gerekli müşteri izni olmadan sevkiyat açılmaz.</w:t>
      </w:r>
    </w:p>
    <w:p>
      <w:pPr>
        <w:pStyle w:val="ListBullet"/>
      </w:pPr>
      <w:r>
        <w:rPr>
          <w:rFonts w:ascii="Calibri" w:hAnsi="Calibri"/>
        </w:rPr>
        <w:t>Güvenlik / mevzuat uygunsuzluğu ürün güvenliği ve müşteri bildirim sürecine aktarılır. Test ve yeterlilik sonuçları ilgili karakteristik ID’siyle saklanır.</w:t>
      </w:r>
    </w:p>
    <w:p>
      <w:pPr>
        <w:pStyle w:val="Heading1"/>
      </w:pPr>
      <w:r>
        <w:rPr>
          <w:rFonts w:ascii="Calibri" w:hAnsi="Calibri"/>
        </w:rPr>
        <w:t>5 Değişiklik ve gözden geçirme</w:t>
      </w:r>
    </w:p>
    <w:p>
      <w:pPr>
        <w:pStyle w:val="ListBullet"/>
      </w:pPr>
      <w:r>
        <w:rPr>
          <w:rFonts w:ascii="Calibri" w:hAnsi="Calibri"/>
        </w:rPr>
        <w:t>Çizim / PIS değişikliği, müşteri şikâyeti, proses / tedarikçi değişikliği veya risk azaltma faaliyetinde liste ve tüm bağlı dokümanlar birlikte gözden geçirilir.</w:t>
      </w:r>
    </w:p>
    <w:p>
      <w:pPr>
        <w:pStyle w:val="ListBullet"/>
      </w:pPr>
      <w:r>
        <w:rPr>
          <w:rFonts w:ascii="Calibri" w:hAnsi="Calibri"/>
        </w:rPr>
        <w:t>Yeni veya değişen karakteristik için eğitim, cihaz yeterliliği, doğrulama ve müşteri onay gereği tamamlanır; geçiş lotu ve yürürlük noktası kaydedilir.</w:t>
      </w:r>
    </w:p>
    <w:p>
      <w:pPr>
        <w:pStyle w:val="ListBullet"/>
      </w:pPr>
      <w:r>
        <w:rPr>
          <w:rFonts w:ascii="Calibri" w:hAnsi="Calibri"/>
        </w:rPr>
        <w:t>Saha ve doküman zinciri örneklenerek eksik aktarım kontrol edilir. Düzeltilen belge revizyonları ve kapanış kanıtı ana listede izlenir.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EKG-PRJ-LST-03 / EKG-PRJ-LST-04 / EKG-PRJ-FRM-22 / EKG-PRJ-PLN-02 / EKG-STN-FRM-06 / EKG-KLT-PRS-12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EKG-PRJ-PRS-03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EKG-PRJ-PRS-03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Özel Karakteristikler Yönetimi Prosedürü</dc:title>
  <dc:subject>EKG-PRJ-PRS-03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