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Sınır Numune ve Referans Parça Yönetimi Talimatı (tanım, bütünlük ve geçerlilik)</w:t>
      </w:r>
    </w:p>
    <w:p>
      <w:pPr>
        <w:pStyle w:val="Title"/>
      </w:pPr>
      <w:r>
        <w:rPr>
          <w:rFonts w:ascii="Calibri" w:hAnsi="Calibri"/>
        </w:rPr>
        <w:t>Sınır Numune ve Referans Parça Yönetimi Talimatı</w:t>
      </w:r>
    </w:p>
    <w:p>
      <w:r>
        <w:rPr>
          <w:rFonts w:ascii="Calibri" w:hAnsi="Calibri"/>
        </w:rPr>
        <w:t>Kontrol ve eğitimde kullanılan sınır numuneleri ile referans parçaların kimliğini, bütünlüğünü ve geçerliliğini korumak.</w:t>
      </w:r>
    </w:p>
    <w:p>
      <w:pPr>
        <w:pStyle w:val="Heading1"/>
      </w:pPr>
      <w:r>
        <w:rPr>
          <w:rFonts w:ascii="Calibri" w:hAnsi="Calibri"/>
        </w:rPr>
        <w:t>1 Numune tanımı ve onayı</w:t>
      </w:r>
    </w:p>
    <w:p>
      <w:pPr>
        <w:pStyle w:val="ListBullet"/>
      </w:pPr>
      <w:r>
        <w:rPr>
          <w:rFonts w:ascii="Calibri" w:hAnsi="Calibri"/>
        </w:rPr>
        <w:t>Referans parça, onaylı hedef durumu; sınır numune ise belirtilmiş karakteristik için kabul / ret sınırını gösterir. Bir numunenin onayı yalnız etikette belirtilen özellik ve revizyon için geçerlidir.</w:t>
      </w:r>
    </w:p>
    <w:p>
      <w:pPr>
        <w:pStyle w:val="ListBullet"/>
      </w:pPr>
      <w:r>
        <w:rPr>
          <w:rFonts w:ascii="Calibri" w:hAnsi="Calibri"/>
        </w:rPr>
        <w:t>Kalite Kontrol Sorumlusu numuneyi güncel teknik resim, PIS / PCP ve görünüş kriteriyle karşılaştırır. Kabul / ret kararı ve hangi kusuru temsil ettiği açıkça yazılır. Müşteri onayı gereken numune, yazılı onay alınmadan kullanıma verilmez.</w:t>
      </w:r>
    </w:p>
    <w:p>
      <w:pPr>
        <w:pStyle w:val="ListBullet"/>
      </w:pPr>
      <w:r>
        <w:rPr>
          <w:rFonts w:ascii="Calibri" w:hAnsi="Calibri"/>
        </w:rPr>
        <w:t>Fotoğraf fiziksel numunenin yerini ancak ilgili karakteristik için yeterli olduğunda ve gereken onayla alabilir. Renk, parlaklık, doku veya üç boyutlu kusurda uygunluğu ayrıca değerlendirilir.</w:t>
      </w:r>
    </w:p>
    <w:p>
      <w:pPr>
        <w:pStyle w:val="Heading1"/>
      </w:pPr>
      <w:r>
        <w:rPr>
          <w:rFonts w:ascii="Calibri" w:hAnsi="Calibri"/>
        </w:rPr>
        <w:t>2 Kimlik ve koruma</w:t>
      </w:r>
    </w:p>
    <w:p>
      <w:pPr>
        <w:pStyle w:val="ListBullet"/>
      </w:pPr>
      <w:r>
        <w:rPr>
          <w:rFonts w:ascii="Calibri" w:hAnsi="Calibri"/>
        </w:rPr>
        <w:t>Her numuneye tekil numara verilir; parça no / adı, revizyon, karakteristik / kusur, kabul durumu, kriter kaynağı, onay, yer, geçerlilik ve gözden geçirme bilgisi bağlanır.</w:t>
      </w:r>
    </w:p>
    <w:p>
      <w:pPr>
        <w:pStyle w:val="ListBullet"/>
      </w:pPr>
      <w:r>
        <w:rPr>
          <w:rFonts w:ascii="Calibri" w:hAnsi="Calibri"/>
        </w:rPr>
        <w:t>Numune cam yüzeyini çizme, kirletme, kırma; kaplama rengini / yüzeyini değiştirme riskinden korunur. Etiket kusuru veya ölçüm yüzeyini kapatmaz. Numune, sevk edilecek üründen ayırt edilecek biçimde işaretlenir.</w:t>
      </w:r>
    </w:p>
    <w:p>
      <w:pPr>
        <w:pStyle w:val="ListBullet"/>
      </w:pPr>
      <w:r>
        <w:rPr>
          <w:rFonts w:ascii="Calibri" w:hAnsi="Calibri"/>
        </w:rPr>
        <w:t>Asıl referans ve sahadaki kullanım kopyası ayrı izlenir. Kopyanın asıl numuneyle eşleşmesi doğrulanır. Kaybolan, hasarlanan veya kimliği okunmayan numune derhal kullanımdan kaldırılır.</w:t>
      </w:r>
    </w:p>
    <w:p>
      <w:pPr>
        <w:pStyle w:val="Heading1"/>
      </w:pPr>
      <w:r>
        <w:rPr>
          <w:rFonts w:ascii="Calibri" w:hAnsi="Calibri"/>
        </w:rPr>
        <w:t>3 Kullanım ve geçerlilik</w:t>
      </w:r>
    </w:p>
    <w:p>
      <w:pPr>
        <w:pStyle w:val="ListBullet"/>
      </w:pPr>
      <w:r>
        <w:rPr>
          <w:rFonts w:ascii="Calibri" w:hAnsi="Calibri"/>
        </w:rPr>
        <w:t>Operatör vardiya / iş başlangıcında numune kimliğinin parça, revizyon ve karakteristikle eşleştiğini; bütünlük ve geçerliliğini kontrol eder. Numune talimatta belirtilen koşul ve yönde karşılaştırılır.</w:t>
      </w:r>
    </w:p>
    <w:p>
      <w:pPr>
        <w:pStyle w:val="ListBullet"/>
      </w:pPr>
      <w:r>
        <w:rPr>
          <w:rFonts w:ascii="Calibri" w:hAnsi="Calibri"/>
        </w:rPr>
        <w:t>Periyodik gözden geçirme aralığı numunenin kullanım sıklığı, bozulma riski ve müşteri şartına göre belirlenir. Sabit bir süre varsayılmaz. Sonuç, sonraki tarih ve doğrulayan kayıt altına alınır.</w:t>
      </w:r>
    </w:p>
    <w:p>
      <w:pPr>
        <w:pStyle w:val="ListBullet"/>
      </w:pPr>
      <w:r>
        <w:rPr>
          <w:rFonts w:ascii="Calibri" w:hAnsi="Calibri"/>
        </w:rPr>
        <w:t>Resim / PIS değişikliği, müşteri geri bildirimi, şikâyet, tedarik / proses değişikliği, numune hasarı veya operatörler arası karar farkında numune yeniden değerlendirilir.</w:t>
      </w:r>
    </w:p>
    <w:p>
      <w:pPr>
        <w:pStyle w:val="ListBullet"/>
      </w:pPr>
      <w:r>
        <w:rPr>
          <w:rFonts w:ascii="Calibri" w:hAnsi="Calibri"/>
        </w:rPr>
        <w:t>Geçersiz numuneyle verilmiş kararların son güvenilir kontrolden itibaren ürün etkisi belirlenir. İlgili ürün ayrılır; yetkili kararı verilmeden kabul veya sevk edilmez.</w:t>
      </w:r>
    </w:p>
    <w:p>
      <w:pPr>
        <w:pStyle w:val="Heading1"/>
      </w:pPr>
      <w:r>
        <w:rPr>
          <w:rFonts w:ascii="Calibri" w:hAnsi="Calibri"/>
        </w:rPr>
        <w:t>4 Eğitim ve iptal</w:t>
      </w:r>
    </w:p>
    <w:p>
      <w:r>
        <w:rPr>
          <w:rFonts w:ascii="Calibri" w:hAnsi="Calibri"/>
        </w:rPr>
        <w:t>Öznel kontrol personeli geçerli referans ve sınır numuneleriyle eğitilir; karar tutarlılığı EKG-KLT-PRS-02 kapsamında değerlendirilir. Numune veya kriter değişikliği eğitim kayıtlarına aktarılır.</w:t>
      </w:r>
    </w:p>
    <w:p>
      <w:r>
        <w:rPr>
          <w:rFonts w:ascii="Calibri" w:hAnsi="Calibri"/>
        </w:rPr>
        <w:t>İptal edilen numune sahadan kaldırılır ve kullanılamaz olarak işaretlenir. Yeni numuneye geçiş tarihi, etkilenen istasyonlar ve önceki numune numarası kaydedilir. Onay kayıtları ve geçmiş numune bilgisi saklanır.</w:t>
      </w:r>
    </w:p>
    <w:p>
      <w:pPr>
        <w:pStyle w:val="Heading1"/>
      </w:pPr>
      <w:r>
        <w:rPr>
          <w:rFonts w:ascii="Calibri" w:hAnsi="Calibri"/>
        </w:rPr>
        <w:t>5 Numune kimlik kartı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5"/>
        <w:gridCol w:w="7213"/>
      </w:tblGrid>
      <w:tr>
        <w:trPr>
          <w:tblHeader/>
          <w:cantSplit/>
        </w:trPr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Bilgi</w:t>
            </w:r>
          </w:p>
        </w:tc>
        <w:tc>
          <w:tcPr>
            <w:tcW w:type="dxa" w:w="498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Kayıt</w:t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Numune no / türü: referans, kabul sınırı, ret sınırı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Parça no / adı / teknik resim revizyonu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Karakteristik / kusur tanımı; kabul veya ret kararı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Kabul kriteri / PIS / müşteri kaynak ve revizyonu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Numune yeri / asıl veya kopya bağlantısı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İç onaylayan / tarih / kayıt no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Gereken müşteri onayı / tarih / referans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276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  <w:t>Kullanım koşulu / kısıt; gözden geçirme aralığı</w:t>
            </w:r>
          </w:p>
        </w:tc>
        <w:tc>
          <w:tcPr>
            <w:tcW w:type="dxa" w:w="721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6 Gözden geçirme kaydı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3"/>
        <w:gridCol w:w="3161"/>
        <w:gridCol w:w="1756"/>
        <w:gridCol w:w="1756"/>
        <w:gridCol w:w="1653"/>
      </w:tblGrid>
      <w:tr>
        <w:trPr>
          <w:tblHeader/>
          <w:cantSplit/>
        </w:trPr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Tarih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Bütünlük / kriter eşleşmesi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Karar / aksiyon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Sonraki kontrol</w:t>
            </w:r>
          </w:p>
        </w:tc>
        <w:tc>
          <w:tcPr>
            <w:tcW w:type="dxa" w:w="19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Doğrulayan</w:t>
            </w:r>
          </w:p>
        </w:tc>
      </w:tr>
      <w:tr>
        <w:trPr>
          <w:cantSplit/>
        </w:trPr>
        <w:tc>
          <w:tcPr>
            <w:tcW w:type="dxa" w:w="16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6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5F6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  <w:tr>
        <w:trPr>
          <w:cantSplit/>
        </w:trPr>
        <w:tc>
          <w:tcPr>
            <w:tcW w:type="dxa" w:w="16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31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7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65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p>
      <w:pPr>
        <w:pStyle w:val="Heading1"/>
      </w:pPr>
      <w:r>
        <w:rPr>
          <w:rFonts w:ascii="Calibri" w:hAnsi="Calibri"/>
        </w:rPr>
        <w:t>İlgili kayıtlar</w:t>
      </w:r>
    </w:p>
    <w:p>
      <w:r>
        <w:rPr>
          <w:rFonts w:ascii="Calibri" w:hAnsi="Calibri"/>
        </w:rPr>
        <w:t>EKG-KLT-TLM-03 / EKG-KLT-PRS-02 / EKG-PRJ-FRM-22 / EKG-KLT-LST-04</w:t>
      </w:r>
    </w:p>
    <w:p>
      <w:pPr>
        <w:pStyle w:val="Heading1"/>
      </w:pPr>
      <w:r>
        <w:rPr>
          <w:rFonts w:ascii="Calibri" w:hAnsi="Calibri"/>
        </w:rPr>
        <w:t>Belge onayı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rPr>
          <w:tblHeader/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Hazırlayan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Kontrol eden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Onaylayan</w:t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C435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Onay tarihi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249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keepNext w:val="0"/>
              <w:spacing w:after="40" w:before="20" w:line="240" w:lineRule="auto"/>
            </w:pPr>
            <w:r>
              <w:rPr>
                <w:rFonts w:ascii="Calibri" w:hAnsi="Calibri"/>
                <w:sz w:val="19"/>
              </w:rPr>
            </w:r>
          </w:p>
        </w:tc>
      </w:tr>
    </w:tbl>
    <w:sectPr w:rsidR="00FC693F" w:rsidRPr="0006063C" w:rsidSect="00034616">
      <w:headerReference w:type="even" r:id="rIdEKGKimlik"/>
      <w:headerReference w:type="first" r:id="rIdEKGKimlik"/>
      <w:headerReference w:type="default" r:id="rId9"/>
      <w:footerReference w:type="default" r:id="rId10"/>
      <w:pgSz w:w="11906" w:h="16838"/>
      <w:pgMar w:top="1502" w:right="964" w:bottom="935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EKG-KLT-TLM-04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EKG-KLT-TLM-04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8364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8364A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8364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9" w:lineRule="auto"/>
    </w:pPr>
    <w:rPr>
      <w:rFonts w:ascii="Arial" w:hAnsi="Arial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59" w:lineRule="auto"/>
      <w:contextualSpacing/>
    </w:pPr>
    <w:rPr>
      <w:rFonts w:ascii="Arial" w:hAnsi="Arial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Sınır Numune ve Referans Parça Yönetimi Talimatı (tanım, bütünlük ve geçerlilik)</dc:title>
  <dc:subject>EKG-KLT-TLM-04</dc:subject>
  <dc:creator>Ekol Glass</dc:creator>
  <cp:keywords/>
  <dc:description/>
  <cp:lastModifiedBy>Ekol Glass</cp:lastModifiedBy>
  <cp:revision>1</cp:revision>
  <dcterms:created xsi:type="dcterms:W3CDTF">2026-05-04T09:00:00Z</dcterms:created>
  <dcterms:modified xsi:type="dcterms:W3CDTF">2026-10-19T09:00:00Z</dcterms:modified>
  <cp:category/>
</cp:coreProperties>
</file>