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EKGKimlik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İç ve Dış Laboratuvar Yönetimi Prosedürü (COP ve müşteri testleri bağlantısı)</w:t>
      </w:r>
    </w:p>
    <w:p>
      <w:pPr>
        <w:pStyle w:val="Title"/>
      </w:pPr>
      <w:r>
        <w:rPr>
          <w:rFonts w:ascii="Calibri" w:hAnsi="Calibri"/>
        </w:rPr>
        <w:t>İç ve Dış Laboratuvar Yönetimi Prosedürü</w:t>
      </w:r>
    </w:p>
    <w:p>
      <w:r>
        <w:rPr>
          <w:rFonts w:ascii="Calibri" w:hAnsi="Calibri"/>
        </w:rPr>
        <w:t>Ürün muayenesi, müşteri testleri, COP ve garanti analizlerinde uygun laboratuvar, metot ve yetkili personel kullanmak.</w:t>
      </w:r>
    </w:p>
    <w:p>
      <w:pPr>
        <w:pStyle w:val="Heading1"/>
      </w:pPr>
      <w:r>
        <w:rPr>
          <w:rFonts w:ascii="Calibri" w:hAnsi="Calibri"/>
        </w:rPr>
        <w:t>1 Yetki ve kapsam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65"/>
        <w:gridCol w:w="7213"/>
      </w:tblGrid>
      <w:tr>
        <w:trPr>
          <w:tblHeader/>
          <w:cantSplit/>
        </w:trPr>
        <w:tc>
          <w:tcPr>
            <w:tcW w:type="dxa" w:w="49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Görev</w:t>
            </w:r>
          </w:p>
        </w:tc>
        <w:tc>
          <w:tcPr>
            <w:tcW w:type="dxa" w:w="49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Sorumluluk</w:t>
            </w:r>
          </w:p>
        </w:tc>
      </w:tr>
      <w:tr>
        <w:trPr>
          <w:cantSplit/>
        </w:trPr>
        <w:tc>
          <w:tcPr>
            <w:tcW w:type="dxa" w:w="27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Kalite Yöneticisi</w:t>
            </w:r>
          </w:p>
        </w:tc>
        <w:tc>
          <w:tcPr>
            <w:tcW w:type="dxa" w:w="7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Laboratuvar kapsamını, dış sağlayıcı yeterliliğini, test planını ve ürün kararına esas raporu değerlendirir.</w:t>
            </w:r>
          </w:p>
        </w:tc>
      </w:tr>
      <w:tr>
        <w:trPr>
          <w:cantSplit/>
        </w:trPr>
        <w:tc>
          <w:tcPr>
            <w:tcW w:type="dxa" w:w="27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Laboratuvar Sorumlusu</w:t>
            </w:r>
          </w:p>
        </w:tc>
        <w:tc>
          <w:tcPr>
            <w:tcW w:type="dxa" w:w="7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Metot, cihaz, ortam, yetkili personel, numune izlenebilirliği ve rapor kayıtlarını yönetir.</w:t>
            </w:r>
          </w:p>
        </w:tc>
      </w:tr>
      <w:tr>
        <w:trPr>
          <w:cantSplit/>
        </w:trPr>
        <w:tc>
          <w:tcPr>
            <w:tcW w:type="dxa" w:w="27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Proje / Ürün Sorumlusu</w:t>
            </w:r>
          </w:p>
        </w:tc>
        <w:tc>
          <w:tcPr>
            <w:tcW w:type="dxa" w:w="7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PIS, teknik resim, DVP&amp;R, müşteri test ve COP şartlarını güncel revizyonuyla aktarır.</w:t>
            </w:r>
          </w:p>
        </w:tc>
      </w:tr>
      <w:tr>
        <w:trPr>
          <w:cantSplit/>
        </w:trPr>
        <w:tc>
          <w:tcPr>
            <w:tcW w:type="dxa" w:w="27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Testi yapan yetkili personel</w:t>
            </w:r>
          </w:p>
        </w:tc>
        <w:tc>
          <w:tcPr>
            <w:tcW w:type="dxa" w:w="7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Onaylı metodu uygular; ham veriyi ve sapmayı değişmeden kaydeder.</w:t>
            </w:r>
          </w:p>
        </w:tc>
      </w:tr>
      <w:tr>
        <w:trPr>
          <w:cantSplit/>
        </w:trPr>
        <w:tc>
          <w:tcPr>
            <w:tcW w:type="dxa" w:w="27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Satınalma Sorumlusu</w:t>
            </w:r>
          </w:p>
        </w:tc>
        <w:tc>
          <w:tcPr>
            <w:tcW w:type="dxa" w:w="7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Yeterliliği kabul edilen dış sağlayıcıya doğru teknik kapsamla sipariş açar.</w:t>
            </w:r>
          </w:p>
        </w:tc>
      </w:tr>
    </w:tbl>
    <w:p>
      <w:pPr>
        <w:pStyle w:val="Heading1"/>
      </w:pPr>
      <w:r>
        <w:rPr>
          <w:rFonts w:ascii="Calibri" w:hAnsi="Calibri"/>
        </w:rPr>
        <w:t>2 İç laboratuvarın kullanıma açılması</w:t>
      </w:r>
    </w:p>
    <w:p>
      <w:pPr>
        <w:pStyle w:val="ListBullet"/>
      </w:pPr>
      <w:r>
        <w:rPr>
          <w:rFonts w:ascii="Calibri" w:hAnsi="Calibri"/>
        </w:rPr>
        <w:t>EKG-KLT-LST-04 üzerinde her test için ürün / karakteristik, metot ve revizyon, çalışma aralığı, cihaz / fikstür, ortam koşulları, kabul kaynağı ve yetkili personel tanımlanır.</w:t>
      </w:r>
    </w:p>
    <w:p>
      <w:pPr>
        <w:pStyle w:val="ListBullet"/>
      </w:pPr>
      <w:r>
        <w:rPr>
          <w:rFonts w:ascii="Calibri" w:hAnsi="Calibri"/>
        </w:rPr>
        <w:t>Cihazın kalibrasyonu, gereken MSA / metot doğrulaması ve personel yetkisi geçerli değilse test başlatılmaz. Kapsam dışı test, yeterliliği değerlendirilen dış laboratuvara yönlendirilir.</w:t>
      </w:r>
    </w:p>
    <w:p>
      <w:pPr>
        <w:pStyle w:val="ListBullet"/>
      </w:pPr>
      <w:r>
        <w:rPr>
          <w:rFonts w:ascii="Calibri" w:hAnsi="Calibri"/>
        </w:rPr>
        <w:t>Yetki; eğitim, uygulama değerlendirmesi ve testin özelliklerine uygun kanıtla verilir. Metot / ekipman değişikliği veya yeterlilik şüphesinde yetki ve kapsam gözden geçirilir.</w:t>
      </w:r>
    </w:p>
    <w:p>
      <w:pPr>
        <w:pStyle w:val="Heading1"/>
      </w:pPr>
      <w:r>
        <w:rPr>
          <w:rFonts w:ascii="Calibri" w:hAnsi="Calibri"/>
        </w:rPr>
        <w:t>3 Test talebi ve numune kabulü</w:t>
      </w:r>
    </w:p>
    <w:p>
      <w:pPr>
        <w:pStyle w:val="ListBullet"/>
      </w:pPr>
      <w:r>
        <w:rPr>
          <w:rFonts w:ascii="Calibri" w:hAnsi="Calibri"/>
        </w:rPr>
        <w:t>Talep; parça no / revizyon, program, lot / seri no, test amacı, karakteristik, güncel metot, kabul kriteri kaynağı, numune adedi ve planlanan tarihi içerir. Tahribatlı test ve numunenin sonraki kullanımı belirtilir.</w:t>
      </w:r>
    </w:p>
    <w:p>
      <w:pPr>
        <w:pStyle w:val="ListBullet"/>
      </w:pPr>
      <w:r>
        <w:rPr>
          <w:rFonts w:ascii="Calibri" w:hAnsi="Calibri"/>
        </w:rPr>
        <w:t>COP, müşteri onay testi ve garanti incelemesinin dayanak şartı, geçerli sıklığı ve rapor sunum noktası ayrı tanımlanır. Sıklık veya limit laboratuvar tarafından varsayılmaz.</w:t>
      </w:r>
    </w:p>
    <w:p>
      <w:pPr>
        <w:pStyle w:val="ListBullet"/>
      </w:pPr>
      <w:r>
        <w:rPr>
          <w:rFonts w:ascii="Calibri" w:hAnsi="Calibri"/>
        </w:rPr>
        <w:t>Numune kabulünde kimlik, miktar, ambalaj, hasar, kontaminasyon ve talebe uygunluk kontrol edilir. Şüpheli numune ayrılır; talep sahibiyle karar verilmeden teste alınmaz. Garanti dönüşünün teslim zinciri korunur.</w:t>
      </w:r>
    </w:p>
    <w:p>
      <w:pPr>
        <w:pStyle w:val="Heading1"/>
      </w:pPr>
      <w:r>
        <w:rPr>
          <w:rFonts w:ascii="Calibri" w:hAnsi="Calibri"/>
        </w:rPr>
        <w:t>4 Dış laboratuvar ve kalibrasyon sağlayıcısı</w:t>
      </w:r>
    </w:p>
    <w:p>
      <w:pPr>
        <w:pStyle w:val="ListBullet"/>
      </w:pPr>
      <w:r>
        <w:rPr>
          <w:rFonts w:ascii="Calibri" w:hAnsi="Calibri"/>
        </w:rPr>
        <w:t>EKG-KLT-FRM-23 ile metot / revizyon, malzeme / ürün, aralık, gereken doğruluk / belirsizlik, cihaz ve rapor yetkisi doğrulanır. Belgenin yalnız varlığı yeterli değildir; sipariş kapsamıyla eşleşmesi aranır.</w:t>
      </w:r>
    </w:p>
    <w:p>
      <w:pPr>
        <w:pStyle w:val="ListBullet"/>
      </w:pPr>
      <w:r>
        <w:rPr>
          <w:rFonts w:ascii="Calibri" w:hAnsi="Calibri"/>
        </w:rPr>
        <w:t xml:space="preserve">Müşteri, uygulanabilir kalite sistemi veya mevzuat şartının gerektirdiği akreditasyonun kapsamı/geçerliliği, kalibrasyon izlenebilirliği ve müşteri kabulü doğrulanır. Alternatif kabul yolu yalnız ilgili şartın izin verdiği kanıt ve gerekli yazılı müşteri kabulüyle kullanılabilir. Karşılanmayan zorunlu şartla test / kalibrasyon sonucu ürün kabulüne esas yapılmaz.</w:t>
      </w:r>
    </w:p>
    <w:p>
      <w:pPr>
        <w:pStyle w:val="ListBullet"/>
      </w:pPr>
      <w:r>
        <w:rPr>
          <w:rFonts w:ascii="Calibri" w:hAnsi="Calibri"/>
        </w:rPr>
        <w:t>Siparişte numune kimliği, metot / revizyon, kabul kaynağı, rapor içeriği, termin, numune iadesi ve alt yüklenici kullanma koşulu belirtilir. Kapsam, adres, metot, yetki veya müşteri şartı değişirse sağlayıcı yeniden değerlendirilir.</w:t>
      </w:r>
    </w:p>
    <w:p>
      <w:pPr>
        <w:pStyle w:val="Heading1"/>
      </w:pPr>
      <w:r>
        <w:rPr>
          <w:rFonts w:ascii="Calibri" w:hAnsi="Calibri"/>
        </w:rPr>
        <w:t>5 Uygulama ve raporun kabulü</w:t>
      </w:r>
    </w:p>
    <w:p>
      <w:pPr>
        <w:pStyle w:val="ListBullet"/>
      </w:pPr>
      <w:r>
        <w:rPr>
          <w:rFonts w:ascii="Calibri" w:hAnsi="Calibri"/>
        </w:rPr>
        <w:t>Test; tanımlı ortamda, geçerli cihazla ve yetkili personelce yürütülür. Tarih, cihaz / yazılım, metot, koşullar, numune kimliği, ham veri, hesaplamalar ve sapmalar raporla ilişkilendirilir.</w:t>
      </w:r>
    </w:p>
    <w:p>
      <w:pPr>
        <w:pStyle w:val="ListBullet"/>
      </w:pPr>
      <w:r>
        <w:rPr>
          <w:rFonts w:ascii="Calibri" w:hAnsi="Calibri"/>
        </w:rPr>
        <w:t>Rapor; rapor no / tarih, test yeri, parça / revizyon / lot, metot / revizyon, gerçek sonuç ve birim, kabul dayanağı, gerektiğinde belirsizlik ve karar kuralı, raporu düzenleyen / yetkiliyi içerir.</w:t>
      </w:r>
    </w:p>
    <w:p>
      <w:pPr>
        <w:pStyle w:val="ListBullet"/>
      </w:pPr>
      <w:r>
        <w:rPr>
          <w:rFonts w:ascii="Calibri" w:hAnsi="Calibri"/>
        </w:rPr>
        <w:t>Laboratuvar Sorumlusu raporu teknik kapsam ve talep açısından inceler. Eksik veya çelişkili rapor düzeltme için geri gönderilir. Sonuçlar yetkili ürün kararı ve gereken müşteri onayından önce otomatik serbest bırakma oluşturmaz.</w:t>
      </w:r>
    </w:p>
    <w:p>
      <w:pPr>
        <w:pStyle w:val="Heading1"/>
      </w:pPr>
      <w:r>
        <w:rPr>
          <w:rFonts w:ascii="Calibri" w:hAnsi="Calibri"/>
        </w:rPr>
        <w:t>6 Uygunsuzluk kayıt ve süreklilik</w:t>
      </w:r>
    </w:p>
    <w:p>
      <w:pPr>
        <w:pStyle w:val="ListBullet"/>
      </w:pPr>
      <w:r>
        <w:rPr>
          <w:rFonts w:ascii="Calibri" w:hAnsi="Calibri"/>
        </w:rPr>
        <w:t>Limit dışı, geçersiz veya güvenilirliği şüpheli sonuçta ilgili numune ve lot bloke edilir; Kalite Yöneticisine bildirilir. Müşteri etkisi ve bildirim gereği değerlendirilir. Test tekrarı ilk sonucu silmez; gerekçesi ve onayıyla birlikte saklanır.</w:t>
      </w:r>
    </w:p>
    <w:p>
      <w:pPr>
        <w:pStyle w:val="ListBullet"/>
      </w:pPr>
      <w:r>
        <w:rPr>
          <w:rFonts w:ascii="Calibri" w:hAnsi="Calibri"/>
        </w:rPr>
        <w:t>Cihaz uygunsuzluğunun önceki testlere etkisi EKG-KLT-FRM-26 ile belirlenir. Sonuç raporu düzeltildiyse önceki rapora açık bağ kurulur ve dağıtıldığı birimlere bildirilir.</w:t>
      </w:r>
    </w:p>
    <w:p>
      <w:pPr>
        <w:pStyle w:val="ListBullet"/>
      </w:pPr>
      <w:r>
        <w:rPr>
          <w:rFonts w:ascii="Calibri" w:hAnsi="Calibri"/>
        </w:rPr>
        <w:t>Talep, teslim / numune zinciri, ham veri, rapor, teknik değerlendirme, personel yetkisi, sağlayıcı yeterliliği ve müşteri yazışmaları parça / lot bazında saklanır. Saklama süresi müşteri, ürün mevzuatı ve kurum kayıt planından alınır.</w:t>
      </w:r>
    </w:p>
    <w:p>
      <w:pPr>
        <w:pStyle w:val="Heading1"/>
      </w:pPr>
      <w:r>
        <w:rPr>
          <w:rFonts w:ascii="Calibri" w:hAnsi="Calibri"/>
        </w:rPr>
        <w:t>İlgili kayıtlar</w:t>
      </w:r>
    </w:p>
    <w:p>
      <w:r>
        <w:rPr>
          <w:rFonts w:ascii="Calibri" w:hAnsi="Calibri"/>
        </w:rPr>
        <w:t>EKG-KLT-LST-04 / EKG-KLT-FRM-23 / EKG-KLT-PRS-02 / EKG-KLT-FRM-26 / EKG-KLT-MTR-01 / EKG-PRJ-FRM-22</w:t>
      </w:r>
    </w:p>
    <w:p>
      <w:pPr>
        <w:pStyle w:val="Heading1"/>
      </w:pPr>
      <w:r>
        <w:rPr>
          <w:rFonts w:ascii="Calibri" w:hAnsi="Calibri"/>
        </w:rPr>
        <w:t>Belge onayı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/>
          <w:cantSplit/>
        </w:trPr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Hazırlayan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Kontrol eden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Onaylayan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Onay tarihi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</w:tbl>
    <w:sectPr w:rsidR="00FC693F" w:rsidRPr="0006063C" w:rsidSect="00034616">
      <w:headerReference w:type="even" r:id="rIdEKGKimlik"/>
      <w:headerReference w:type="first" r:id="rIdEKGKimlik"/>
      <w:headerReference w:type="default" r:id="rId9"/>
      <w:footerReference w:type="default" r:id="rId10"/>
      <w:pgSz w:w="11906" w:h="16838"/>
      <w:pgMar w:top="1502" w:right="964" w:bottom="935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sz w:val="16"/>
      </w:rPr>
      <w:t xml:space="preserve">Sayfa </w:t>
    </w:r>
    <w:fldSimple w:instr="PAGE"/>
    <w: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628"/>
      <w:gridCol w:w="6463"/>
    </w:tblGrid>
    <w:tr>
      <w:tc>
        <w:tcPr>
          <w:tcW w:type="dxa" w:w="5046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1296000" cy="448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448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6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sz w:val="17"/>
            </w:rPr>
            <w:t>EKG-KLT-PRS-05</w:t>
          </w:r>
          <w:r>
            <w:rPr>
              <w:rFonts w:ascii="Calibri" w:hAnsi="Calibri"/>
              <w:b w:val="0"/>
              <w:sz w:val="17"/>
            </w:rPr>
            <w:br/>
            <w:t>İlk yayın: 04.05.2026</w:t>
          </w:r>
          <w:r>
            <w:rPr>
              <w:rFonts w:ascii="Calibri" w:hAnsi="Calibri"/>
              <w:b w:val="0"/>
              <w:sz w:val="17"/>
            </w:rPr>
            <w:br/>
            <w:t>Revizyon tarihi: 19.10.2026</w:t>
          </w:r>
        </w:p>
      </w:tc>
    </w:tr>
  </w:tbl>
  <w:p>
    <w:pPr>
      <w:spacing w:after="0"/>
    </w:pPr>
  </w:p>
</w:hdr>
</file>

<file path=word/headerEKGKimlik.xml><?xml version="1.0" encoding="utf-8"?>
<w:hdr xmlns:w="http://schemas.openxmlformats.org/wordprocessingml/2006/main">
  <w:p>
    <w:pPr>
      <w:jc w:val="right"/>
      <w:spacing w:before="0" w:after="40"/>
    </w:pPr>
    <w:r>
      <w:rPr>
        <w:b/>
        <w:color w:val="18364A"/>
        <w:sz w:val="18"/>
      </w:rPr>
      <w:t>Doküman No: EKG-KLT-PRS-05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8364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8364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836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180"/>
      <w:contextualSpacing/>
    </w:pPr>
    <w:rPr>
      <w:rFonts w:asciiTheme="majorHAnsi" w:eastAsiaTheme="majorEastAsia" w:hAnsiTheme="majorHAnsi" w:cstheme="majorBidi" w:ascii="Calibri" w:hAnsi="Calibri"/>
      <w:b/>
      <w:color w:val="18364A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9" w:lineRule="auto"/>
    </w:pPr>
    <w:rPr>
      <w:rFonts w:ascii="Arial" w:hAnsi="Arial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Arial" w:hAnsi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59" w:lineRule="auto"/>
      <w:contextualSpacing/>
    </w:pPr>
    <w:rPr>
      <w:rFonts w:ascii="Arial" w:hAnsi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EKGKimlik" Type="http://schemas.openxmlformats.org/officeDocument/2006/relationships/header" Target="headerEKGKimlik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İç ve Dış Laboratuvar Yönetimi Prosedürü (COP ve müşteri testleri bağlantısı)</dc:title>
  <dc:subject>EKG-KLT-PRS-05</dc:subject>
  <dc:creator>Ekol Glass</dc:creator>
  <cp:keywords/>
  <dc:description/>
  <cp:lastModifiedBy>Ekol Glass</cp:lastModifiedBy>
  <cp:revision>1</cp:revision>
  <dcterms:created xsi:type="dcterms:W3CDTF">2026-05-04T09:00:00Z</dcterms:created>
  <dcterms:modified xsi:type="dcterms:W3CDTF">2026-10-19T09:00:00Z</dcterms:modified>
  <cp:category/>
</cp:coreProperties>
</file>