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İş Yeri Düzeni ve 5S Prosedürü</w:t>
      </w:r>
    </w:p>
    <w:p>
      <w:pPr>
        <w:pStyle w:val="Heading1"/>
      </w:pPr>
      <w:r>
        <w:rPr>
          <w:rFonts w:ascii="Calibri" w:hAnsi="Calibri"/>
        </w:rPr>
        <w:t>1. Uygulama ve sorumluluk</w:t>
      </w:r>
    </w:p>
    <w:p>
      <w:r>
        <w:rPr>
          <w:rFonts w:ascii="Calibri" w:hAnsi="Calibri"/>
        </w:rPr>
        <w:t>Üretim, Depo ve destek alanlarında alan sorumlusu günlük düzen/temizliği; Kalite periyodik değerlendirme ve kapanış doğrulamasını yürütür.</w:t>
      </w:r>
    </w:p>
    <w:p>
      <w:pPr>
        <w:pStyle w:val="Heading1"/>
      </w:pPr>
      <w:r>
        <w:rPr>
          <w:rFonts w:ascii="Calibri" w:hAnsi="Calibri"/>
        </w:rPr>
        <w:t>2. 5S uygulaması</w:t>
      </w:r>
    </w:p>
    <w:p>
      <w:r>
        <w:rPr>
          <w:rFonts w:ascii="Calibri" w:hAnsi="Calibri"/>
        </w:rPr>
        <w:t>Ayıkla: Gereksiz veya hasarlı malzemeyi tanımlı bekleme alanına al; müşteri malı, yedek parça, ölçüm aracı ve kayıtları sahibinin yetkili kararı olmadan atma. Uygunsuz ürün ayrıca kalite statüsüyle bloke edilir.</w:t>
      </w:r>
    </w:p>
    <w:p>
      <w:r>
        <w:rPr>
          <w:rFonts w:ascii="Calibri" w:hAnsi="Calibri"/>
        </w:rPr>
        <w:t>Düzenle: Takım, ürün, karantina ve atık yerlerini yazı ve onaylı saha planıyla tanımla. Yaya yolu, acil çıkış ve yangın ekipmanına erişimi açık tut.</w:t>
      </w:r>
    </w:p>
    <w:p>
      <w:r>
        <w:rPr>
          <w:rFonts w:ascii="Calibri" w:hAnsi="Calibri"/>
        </w:rPr>
        <w:t>Temizle: Cam kırığı, talaş ve kaçak kaynaklarını uygun ekipmanla gider; makine tehlike bölgesinde güvenli duruş/enerji izolasyonu uygula. Temizliği bakım arızasını gizleyecek biçimde yapma.</w:t>
      </w:r>
    </w:p>
    <w:p>
      <w:r>
        <w:rPr>
          <w:rFonts w:ascii="Calibri" w:hAnsi="Calibri"/>
        </w:rPr>
        <w:t>Standartlaştır: Her alanın temizlik yöntemi, sıklığı ve sorumlusu tanımlıdır. Renk/zemin işaretleri EKG-URT-STD-01 ve saha yerleşimine göre uygulanır.</w:t>
      </w:r>
    </w:p>
    <w:p>
      <w:r>
        <w:rPr>
          <w:rFonts w:ascii="Calibri" w:hAnsi="Calibri"/>
        </w:rPr>
        <w:t>Sürdür: EKG-URT-FRM-07 ile alanın riskine göre planlanan sıklıkta değerlendir; güvenlik veya ürün karışma riski varsa hemen sınırlandır.</w:t>
      </w:r>
    </w:p>
    <w:p>
      <w:pPr>
        <w:pStyle w:val="Heading1"/>
      </w:pPr>
      <w:r>
        <w:rPr>
          <w:rFonts w:ascii="Calibri" w:hAnsi="Calibri"/>
        </w:rPr>
        <w:t>3. Bulgular ve kayıt</w:t>
      </w:r>
    </w:p>
    <w:p>
      <w:r>
        <w:rPr>
          <w:rFonts w:ascii="Calibri" w:hAnsi="Calibri"/>
        </w:rPr>
        <w:t>Bulguya sorumlu, termin ve kapanış kanıtı ata; Kalite/denetleyen sahada doğrulasın. Tekrarlayan bulguları düzeltici faaliyete bağla. Puan yükseltmek için uygunsuzluğu gizleme; açık bulgu kapanmış sayılmaz.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EKG-URT-PRS-08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EKG-URT-PRS-08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Yeri Düzeni ve 5S Prosedürü</dc:title>
  <dc:subject>EKG-URT-PRS-08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