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Zemin İşaretleme ve Renk Kodu Standardı</w:t>
      </w:r>
    </w:p>
    <w:p>
      <w:pPr>
        <w:pStyle w:val="Heading1"/>
      </w:pPr>
      <w:r>
        <w:rPr>
          <w:rFonts w:ascii="Calibri" w:hAnsi="Calibri"/>
        </w:rPr>
        <w:t>1. Kullanım</w:t>
      </w:r>
    </w:p>
    <w:p>
      <w:r>
        <w:rPr>
          <w:rFonts w:ascii="Calibri" w:hAnsi="Calibri"/>
        </w:rPr>
        <w:t>Bu kodlar kuruluş içi görsel yönetim içindir; zorunlu güvenlik/yangın işaretlerinin yerine geçmez. İSG ve alan sorumlusu saha yerleşim planını doğrular. Çizgi genişliği, yol açıklığı ve yerleşim saha planında belirlenir.</w:t>
      </w:r>
    </w:p>
    <w:p>
      <w:r>
        <w:rPr>
          <w:rFonts w:ascii="Calibri" w:hAnsi="Calibri"/>
        </w:rPr>
        <w:t>Alanlar yalnız renkle değil ad ve statü etiketiyle de tanımlanır. Siyah-beyaz A4 çıktıda renk adı okunmalıdır.</w:t>
      </w:r>
    </w:p>
    <w:p>
      <w:pPr>
        <w:pStyle w:val="Heading1"/>
      </w:pPr>
      <w:r>
        <w:rPr>
          <w:rFonts w:ascii="Calibri" w:hAnsi="Calibri"/>
        </w:rPr>
        <w:t>2. Alan kodları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13"/>
        <w:gridCol w:w="7278"/>
      </w:tblGrid>
      <w:tr>
        <w:trPr>
          <w:tblHeader/>
          <w:cantSplit/>
        </w:trPr>
        <w:tc>
          <w:tcPr>
            <w:tcW w:type="dxa" w:w="281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Renk / işaret</w:t>
            </w:r>
          </w:p>
        </w:tc>
        <w:tc>
          <w:tcPr>
            <w:tcW w:type="dxa" w:w="727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İç kullanım</w:t>
            </w:r>
          </w:p>
        </w:tc>
      </w:tr>
      <w:tr>
        <w:trPr>
          <w:cantSplit/>
        </w:trPr>
        <w:tc>
          <w:tcPr>
            <w:tcW w:type="dxa" w:w="281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Sarı</w:t>
            </w:r>
          </w:p>
        </w:tc>
        <w:tc>
          <w:tcPr>
            <w:tcW w:type="dxa" w:w="727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Üretim alanı sınırı ve iç taşıma koridoru; yaya ayrımı saha planında.</w:t>
            </w:r>
          </w:p>
        </w:tc>
      </w:tr>
      <w:tr>
        <w:trPr>
          <w:cantSplit/>
        </w:trPr>
        <w:tc>
          <w:tcPr>
            <w:tcW w:type="dxa" w:w="281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Beyaz</w:t>
            </w:r>
          </w:p>
        </w:tc>
        <w:tc>
          <w:tcPr>
            <w:tcW w:type="dxa" w:w="727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Makine, tezgâh ve genel ekipman yeri.</w:t>
            </w:r>
          </w:p>
        </w:tc>
      </w:tr>
      <w:tr>
        <w:trPr>
          <w:cantSplit/>
        </w:trPr>
        <w:tc>
          <w:tcPr>
            <w:tcW w:type="dxa" w:w="281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Mavi</w:t>
            </w:r>
          </w:p>
        </w:tc>
        <w:tc>
          <w:tcPr>
            <w:tcW w:type="dxa" w:w="727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Tanımlı uygun stok/sehpa lokasyonu; ürün statüsü ayrıca gösterilir.</w:t>
            </w:r>
          </w:p>
        </w:tc>
      </w:tr>
      <w:tr>
        <w:trPr>
          <w:cantSplit/>
        </w:trPr>
        <w:tc>
          <w:tcPr>
            <w:tcW w:type="dxa" w:w="281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Yeşil</w:t>
            </w:r>
          </w:p>
        </w:tc>
        <w:tc>
          <w:tcPr>
            <w:tcW w:type="dxa" w:w="727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Saha planında yaya/acil erişim yönlendirmesi; depolama yapılmaz.</w:t>
            </w:r>
          </w:p>
        </w:tc>
      </w:tr>
      <w:tr>
        <w:trPr>
          <w:cantSplit/>
        </w:trPr>
        <w:tc>
          <w:tcPr>
            <w:tcW w:type="dxa" w:w="281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Kırmızı</w:t>
            </w:r>
          </w:p>
        </w:tc>
        <w:tc>
          <w:tcPr>
            <w:tcW w:type="dxa" w:w="727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Tanımlı karantina/uygunsuz ürün alanı; karantina, ret ve hurda yazıyla ayrı gösterilir.</w:t>
            </w:r>
          </w:p>
        </w:tc>
      </w:tr>
      <w:tr>
        <w:trPr>
          <w:cantSplit/>
        </w:trPr>
        <w:tc>
          <w:tcPr>
            <w:tcW w:type="dxa" w:w="281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Sarı-siyah</w:t>
            </w:r>
          </w:p>
        </w:tc>
        <w:tc>
          <w:tcPr>
            <w:tcW w:type="dxa" w:w="727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Fiziksel engel veya çarpma/sıkışma tehlikesi.</w:t>
            </w:r>
          </w:p>
        </w:tc>
      </w:tr>
    </w:tbl>
    <w:p>
      <w:pPr>
        <w:pStyle w:val="Heading1"/>
      </w:pPr>
      <w:r>
        <w:rPr>
          <w:rFonts w:ascii="Calibri" w:hAnsi="Calibri"/>
        </w:rPr>
        <w:t>3. Uygulama ve bakım</w:t>
      </w:r>
    </w:p>
    <w:p>
      <w:r>
        <w:rPr>
          <w:rFonts w:ascii="Calibri" w:hAnsi="Calibri"/>
        </w:rPr>
        <w:t>Yangın ekipmanı ve acil çıkışların önündeki yasak depolama alanları mevzuat/İSG planıyla ayrıca işaretlenir; karantina malzemesi burada depolanmaz. Kimyasal/ısı tehlikeleri uygun uyarı işaretleriyle tanımlanır.</w:t>
      </w:r>
    </w:p>
    <w:p>
      <w:r>
        <w:rPr>
          <w:rFonts w:ascii="Calibri" w:hAnsi="Calibri"/>
        </w:rPr>
        <w:t>Yüzeyi temiz/kuru hazırla; trafiğe ve kimyasala uygun işaretleme malzemesi kullan. Silinmiş işaretleri alan sorumlusu bildirir, Bakım yeniler. Değişiklikte saha planı ve ilgili çalışan bilgilendirmesi güncellenir.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224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EKG-URT-STD-01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EKG-URT-STD-01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23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Zemin İşaretleme ve Renk Kodu Standardı</dc:title>
  <dc:subject>EKG-URT-STD-01</dc:subject>
  <dc:creator>Ekol Glass</dc:creator>
  <cp:keywords/>
  <dc:description>generated by python-docx</dc:description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