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Özel Prosesler ve Parametre İzleme Prosedürü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Sonraki kontrolle tam doğrulanamayan prosesler ürün ve risk bazında belirlenir. Cam temperleme, seramik baskı pişirme ve varsa yapıştırma bu değerlendirmeye alınır; yalnız fiilen kullanılan prosesler kapsamlandırılır.</w:t>
      </w:r>
    </w:p>
    <w:p>
      <w:r>
        <w:rPr>
          <w:rFonts w:ascii="Calibri" w:hAnsi="Calibri"/>
        </w:rPr>
        <w:t>Üretim onaylı reçeteyi uygular. Proses/teknik sorumlusu validasyon ve değişikliği; Kalite kontrol planı, test ve serbest bırakmayı yönetir.</w:t>
      </w:r>
    </w:p>
    <w:p>
      <w:pPr>
        <w:pStyle w:val="Heading1"/>
      </w:pPr>
      <w:r>
        <w:rPr>
          <w:rFonts w:ascii="Calibri" w:hAnsi="Calibri"/>
        </w:rPr>
        <w:t>2. Geçerli kılma ve değişiklik</w:t>
      </w:r>
    </w:p>
    <w:p>
      <w:r>
        <w:rPr>
          <w:rFonts w:ascii="Calibri" w:hAnsi="Calibri"/>
        </w:rPr>
        <w:t>Seri üretim öncesi ürün güvenliği, müşteri/çizim şartları ve proses değişkenleri belirlenir. Ekipman uygunluğu, yetkinlik, ölçüm güvenilirliği, deneme planı ve kabul sonuçları kanıtlanır; ilgili yetkili onayı alınır.</w:t>
      </w:r>
    </w:p>
    <w:p>
      <w:r>
        <w:rPr>
          <w:rFonts w:ascii="Calibri" w:hAnsi="Calibri"/>
        </w:rPr>
        <w:t>Ürün/cam kalınlığı-renk, boya/kimyasal, kritik ekipman, reçete veya yer değişiminde etki değerlendirmesi ve gereken yeniden doğrulama yapılır. Validasyon kapsamı ve periyodu risk/müşteri şartına göre belirlenir.</w:t>
      </w:r>
    </w:p>
    <w:p>
      <w:pPr>
        <w:pStyle w:val="Heading1"/>
      </w:pPr>
      <w:r>
        <w:rPr>
          <w:rFonts w:ascii="Calibri" w:hAnsi="Calibri"/>
        </w:rPr>
        <w:t>3. Reçete ve izleme</w:t>
      </w:r>
    </w:p>
    <w:p>
      <w:r>
        <w:rPr>
          <w:rFonts w:ascii="Calibri" w:hAnsi="Calibri"/>
        </w:rPr>
        <w:t>Onaylı reçete ürün kodu/revizyon ve ekipmana bağlanır, yetkisiz değişime kapatılır. Sıcaklık, süre/hat hızı ve soğutma gibi uygulanabilir parametrelerin birimi, limiti, sıklığı ve kayıt yöntemi tanımlanır.</w:t>
      </w:r>
    </w:p>
    <w:p>
      <w:r>
        <w:rPr>
          <w:rFonts w:ascii="Calibri" w:hAnsi="Calibri"/>
        </w:rPr>
        <w:t>Temperleme kontrollü ısıtma ve hızlı soğutmayla gerilme yapısını oluşturur; cam erime noktasına kadar ısıtılmaz. Seramik boya pişirme veya ayrı kurutma koşulları gerçek boya ve hat teknik şartına göre izlenir.</w:t>
      </w:r>
    </w:p>
    <w:p>
      <w:r>
        <w:rPr>
          <w:rFonts w:ascii="Calibri" w:hAnsi="Calibri"/>
        </w:rPr>
        <w:t>Başlangıç, değişiklik ve planlı kontrol sonuçları lot/iş emrine bağlanır. Kalibrasyon/doğrulama, bakım ve gerekli ürün testlerinin geçerliliği kontrol edilir.</w:t>
      </w:r>
    </w:p>
    <w:p>
      <w:pPr>
        <w:pStyle w:val="Heading1"/>
      </w:pPr>
      <w:r>
        <w:rPr>
          <w:rFonts w:ascii="Calibri" w:hAnsi="Calibri"/>
        </w:rPr>
        <w:t>4. Sapma ve serbest bırakma</w:t>
      </w:r>
    </w:p>
    <w:p>
      <w:r>
        <w:rPr>
          <w:rFonts w:ascii="Calibri" w:hAnsi="Calibri"/>
        </w:rPr>
        <w:t>Limit dışı ayar veya güvenilirliği bozulmuş ölçümde prosesi durdur. Son doğrulanmış uygun kontrolden itibaren şüpheli lotları, stok ve sevkiyatı kapsayarak bloke et.</w:t>
      </w:r>
    </w:p>
    <w:p>
      <w:r>
        <w:rPr>
          <w:rFonts w:ascii="Calibri" w:hAnsi="Calibri"/>
        </w:rPr>
        <w:t>Neden, düzeltme, reçete/ekipman doğrulaması ve yeni ilk parça/test sonucu kaydedilir. Etkilenen lotlar Kalite kararı olmadan kullanılamaz; sevk edilmiş ürün varsa müşteri bildirim süreci başlatılır.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EKG-URT-PRS-09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EKG-URT-PRS-09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Özel Prosesler ve Parametre İzleme Prosedürü</dc:title>
  <dc:subject>EKG-URT-PRS-09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