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Ürün ve İşlem Bazlı Yeniden İşleme ve Tamir Talimatı</w:t>
      </w:r>
    </w:p>
    <w:p>
      <w:pPr>
        <w:pStyle w:val="Heading1"/>
      </w:pPr>
      <w:r>
        <w:rPr>
          <w:rFonts w:ascii="Calibri" w:hAnsi="Calibri"/>
        </w:rPr>
        <w:t>1. Ürün ve işlem tanımı</w:t>
      </w:r>
    </w:p>
    <w:p>
      <w:r>
        <w:rPr>
          <w:rFonts w:ascii="Calibri" w:hAnsi="Calibri"/>
        </w:rPr>
        <w:t>Bu şablon ürün/işlem için doldurulup onaylanmadan yeniden işleme veya tamir başlatılamaz. Temperli camda kesme, delme, çentik ve rodaj yapılmaz.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525"/>
        <w:gridCol w:w="2566"/>
      </w:tblGrid>
      <w:tr>
        <w:trPr>
          <w:tblHeader/>
          <w:cantSplit/>
        </w:trPr>
        <w:tc>
          <w:tcPr>
            <w:tcW w:type="dxa" w:w="752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56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Tanım</w:t>
            </w:r>
          </w:p>
        </w:tc>
      </w:tr>
      <w:tr>
        <w:trPr>
          <w:cantSplit/>
        </w:trPr>
        <w:tc>
          <w:tcPr>
            <w:tcW w:type="dxa" w:w="752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Parça no/revizyon / müşteri / kusur</w:t>
            </w:r>
          </w:p>
        </w:tc>
        <w:tc>
          <w:tcPr>
            <w:tcW w:type="dxa" w:w="256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2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İşlem türü: Yeniden işleme veya tamir</w:t>
            </w:r>
          </w:p>
        </w:tc>
        <w:tc>
          <w:tcPr>
            <w:tcW w:type="dxa" w:w="256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2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Teknik risk değerlendirmesi / izin dayanağı</w:t>
            </w:r>
          </w:p>
        </w:tc>
        <w:tc>
          <w:tcPr>
            <w:tcW w:type="dxa" w:w="256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2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Müşteri izin no ve kapsamı (gerekiyorsa)</w:t>
            </w:r>
          </w:p>
        </w:tc>
        <w:tc>
          <w:tcPr>
            <w:tcW w:type="dxa" w:w="256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25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İzin verilen tekrar limiti ve dayanağı</w:t>
            </w:r>
          </w:p>
        </w:tc>
        <w:tc>
          <w:tcPr>
            <w:tcW w:type="dxa" w:w="256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2. Uygulama yöntemi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70"/>
        <w:gridCol w:w="4004"/>
        <w:gridCol w:w="4418"/>
      </w:tblGrid>
      <w:tr>
        <w:trPr>
          <w:tblHeader/>
          <w:cantSplit/>
        </w:trPr>
        <w:tc>
          <w:tcPr>
            <w:tcW w:type="dxa" w:w="16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Sıra</w:t>
            </w:r>
          </w:p>
        </w:tc>
        <w:tc>
          <w:tcPr>
            <w:tcW w:type="dxa" w:w="40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İşlem / gerekli ekipman</w:t>
            </w:r>
          </w:p>
        </w:tc>
        <w:tc>
          <w:tcPr>
            <w:tcW w:type="dxa" w:w="441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Parametre ve güvenlik koşulu</w:t>
            </w:r>
          </w:p>
        </w:tc>
      </w:tr>
      <w:tr>
        <w:trPr>
          <w:cantSplit/>
        </w:trPr>
        <w:tc>
          <w:tcPr>
            <w:tcW w:type="dxa" w:w="16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40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41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6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40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41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6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40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41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3. Doğrulama ve izin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629"/>
        <w:gridCol w:w="2462"/>
      </w:tblGrid>
      <w:tr>
        <w:trPr>
          <w:tblHeader/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Muayene/test / kriter ve kaynak revizyonu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Ret durumunda karar / ürünün sonraki akışı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Hazırlayan teknik yetkili / Kalite onayı / tarih</w:t>
            </w:r>
          </w:p>
        </w:tc>
        <w:tc>
          <w:tcPr>
            <w:tcW w:type="dxa" w:w="24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4. Kayıt</w:t>
      </w:r>
    </w:p>
    <w:p>
      <w:r>
        <w:rPr>
          <w:rFonts w:ascii="Calibri" w:hAnsi="Calibri"/>
        </w:rPr>
        <w:t>Her lot/seri için işlem, gerçek tekrar sayısı, miktar, uygulayan, kontrol sonucu ve serbest bırakan EKG-URT-FRM-15/16 ile izlenir. İzlenebilirlik etiketi ana ürün kimliğini ve müşteri işaretlerini bozmaz.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EKG-URT-TLM-23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Ürün ve İşlem Bazlı Yeniden İşleme ve Tamir Talimatı</dc:title>
  <dc:subject>EKG-URT-TLM-23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