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Cam Yıkama ve Kurutma Operasyon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Camların mekanik işlem sonrası veya montaj öncesi onaylı yıkama ve kurutma prosesi.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Fırça/nozül, filtre, merdane ve hava bıçaklarının temizliğini kontrol et. Cam türü/kaplamaya uygun makine ve yönü seç; kaplama yönünü varsayma.</w:t>
      </w:r>
    </w:p>
    <w:p>
      <w:r>
        <w:rPr>
          <w:rFonts w:ascii="Calibri" w:hAnsi="Calibri"/>
        </w:rPr>
        <w:t>Su iletkenliğini uygun birim ve cihazla, diğer su kalitesi ölçütlerini ayrı ayrı kontrol et. İletkenlik ile TDS aynı ölçüm değildir; reçetedeki limitleri uygula.</w:t>
      </w:r>
    </w:p>
    <w:p>
      <w:r>
        <w:rPr>
          <w:rFonts w:ascii="Calibri" w:hAnsi="Calibri"/>
        </w:rPr>
        <w:t>Sıcaklık, hat hızı ve kurutma koşullarını onaylı reçeteye getir. Makinenin minimum boyutu ve destek şartı dışında parça besleme; onaysız aparat kullanma.</w:t>
      </w:r>
    </w:p>
    <w:p>
      <w:r>
        <w:rPr>
          <w:rFonts w:ascii="Calibri" w:hAnsi="Calibri"/>
        </w:rPr>
        <w:t>Camları çarpmayacak aralıkla besle. Çıkışta temiz ve kuru yüzeyi koruyarak tanımlı sehpaya al. Makine içine el uzatma; sıkışmada güvenli duruş ve enerji izolasyonu uygula.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Yüzey/kenar/delikte leke, kalıntı, çizik ve su damlasını uygun ışık altında gözle kontrol et; çıplak elle kenar kontrolü yapma. Sapmada onaylı yeniden yıkama yöntemini uygula.</w:t>
      </w:r>
    </w:p>
    <w:p>
      <w:r>
        <w:rPr>
          <w:rFonts w:ascii="Calibri" w:hAnsi="Calibri"/>
        </w:rPr>
        <w:t>Tank/filtre bakımı üretici ve bakım planına göre yapılır; rastgele kimyasal veya dezenfektan eklenmez. Islak zemin ve elektrik güvenliği sağlanır.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EKG-URT-TLM-16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Yıkama ve Kurutma Operasyon Talimatı</dc:title>
  <dc:subject>EKG-URT-TLM-16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