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Alüminyum Çerçeve Profili Kesme İş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cam çerçevesinde alüminyum profil kesimi.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Malzeme yüzeyini ve kesim kodunu kontrol et; dayama/tezgâhı çizik oluşturmayacak şekilde temizle.</w:t>
      </w:r>
    </w:p>
    <w:p>
      <w:r>
        <w:rPr>
          <w:rFonts w:ascii="Calibri" w:hAnsi="Calibri"/>
        </w:rPr>
        <w:t>Onaylı kesim boyu/açı, bıçak ve makine parametrelerini ayarla. Profili uygun baskı/fikstürle sabitle; kısa parçayı elle tutarak kesme.</w:t>
      </w:r>
    </w:p>
    <w:p>
      <w:r>
        <w:rPr>
          <w:rFonts w:ascii="Calibri" w:hAnsi="Calibri"/>
        </w:rPr>
        <w:t>Koruyucular kapalıyken kes. Bıçak durup güvenli konuma gelince parçayı al, çapakları uygun aletle temizle ve lotlu koruyucu ambalaja koy.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İlk parçada boy/açı, çapak ve yüzeyi doğrula; tırnakla keskin kenar kontrolü yapma. Ölçüm aracı parça boyuna ve toleransa uygun olmalı.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Alüminyum Çerçeve Profili Kesme İş Talimatı</dc:title>
  <dc:subject>EKG-URT-TLM-12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