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Profil Yüzey Zımpara ve Boyaya Hazırlık Talimatı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Otomotiv çerçeve profilinin boyama/kaplama öncesi yüzey hazırlığı.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Heading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Heading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Malzeme türü ve onaylı kaplama prosesini doğrula; çizik, ezik ve kaynak kusurunu ayır. Kusuru zımparayla izinsiz gizleme.</w:t>
      </w:r>
    </w:p>
    <w:p>
      <w:r>
        <w:rPr>
          <w:rFonts w:ascii="Calibri" w:hAnsi="Calibri"/>
        </w:rPr>
        <w:t>Onaylı aşındırıcı ve emiş sistemiyle yüzeyi hazırla. Kesiti inceltme, köşeyi bozma veya kaynak dikişini çizimde izin verilmeden yüzey seviyesine indirme.</w:t>
      </w:r>
    </w:p>
    <w:p>
      <w:r>
        <w:rPr>
          <w:rFonts w:ascii="Calibri" w:hAnsi="Calibri"/>
        </w:rPr>
        <w:t>Alüminyum tozu yangın/patlama ve farklı metal tozu karışma riskine uygun emiş/toplama sistemi kullan. Tozu kontrolsüz basınçlı havayla dağıtma.</w:t>
      </w:r>
    </w:p>
    <w:p>
      <w:r>
        <w:rPr>
          <w:rFonts w:ascii="Calibri" w:hAnsi="Calibri"/>
        </w:rPr>
        <w:t>Yalnız malzeme/kaplamayla uyumlu onaylı temizleyici ve yüzey hazırlama yöntemini uygula. KKD, havalandırma ve kimyasal atık koşulları güvenlik bilgi formuna göre seçilir.</w:t>
      </w:r>
    </w:p>
    <w:p>
      <w:r>
        <w:rPr>
          <w:rFonts w:ascii="Calibri" w:hAnsi="Calibri"/>
        </w:rPr>
        <w:t>Temiz yüzeye kirli eldiven/çıplak elle dokunma. Kuruma, bekleme süresi ve çevre koşulları içinde kaplamaya yönlendir.</w:t>
      </w:r>
    </w:p>
    <w:p>
      <w:pPr>
        <w:pStyle w:val="Heading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Temizlik, yüzey profili ve hasarsızlığı onaylı kaplama şartına göre kontrol et. Su filmi testi yalnız proses tarafından tanımlıysa uygulanır.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EKG-URT-TLM-21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Yüzey Zımpara ve Boyaya Hazırlık Talimatı</dc:title>
  <dc:subject>EKG-URT-TLM-21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