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Su Tahliye Deliği ve Kanalı Açma Talimatı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Otomotiv cam modülü çerçeve profilinde teknik resimde tanımlı su tahliye deliği/kanalı.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Heading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Heading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Profil kodu, ürün yönü, tahliye konumları ve açılmayacak yüzeyleri teknik resimden doğrula. Mimari PVC odacık/şaşırtmalı delik kurallarını otomotiv profile genelleme.</w:t>
      </w:r>
    </w:p>
    <w:p>
      <w:r>
        <w:rPr>
          <w:rFonts w:ascii="Calibri" w:hAnsi="Calibri"/>
        </w:rPr>
        <w:t>Onaylı kesici, fikstür, program ve yağlama koşulunu kur. Profili sabitle; muhafaza ve emniyet sistemleri aktifken işle.</w:t>
      </w:r>
    </w:p>
    <w:p>
      <w:r>
        <w:rPr>
          <w:rFonts w:ascii="Calibri" w:hAnsi="Calibri"/>
        </w:rPr>
        <w:t>Çizimdeki delik/kanalı aç; onaysız ek delik veya konum değişikliği yapma. Takım durup güvenli konuma gelmeden baskıyı açma veya talaş alma.</w:t>
      </w:r>
    </w:p>
    <w:p>
      <w:r>
        <w:rPr>
          <w:rFonts w:ascii="Calibri" w:hAnsi="Calibri"/>
        </w:rPr>
        <w:t>Çapakları uygun aletle temizle; kanalı tıkayacak talaş/atık bırakma. Yüzeyi ve iç elemanları koru.</w:t>
      </w:r>
    </w:p>
    <w:p>
      <w:pPr>
        <w:pStyle w:val="Heading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İlk parçada delik/slot boyutu, konumu ve yönünü uygun mastarla doğrula. Akış ve sızdırmazlık doğrulaması ürün kontrol planına göre yapılır.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22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EKG-URT-TLM-22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Tahliye Deliği ve Kanalı Açma Talimatı</dc:title>
  <dc:subject>EKG-URT-TLM-22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