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EKGKimlik.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PFMEA ve Risk Azaltma Prosedürü</w:t>
      </w:r>
    </w:p>
    <w:p>
      <w:r>
        <w:rPr>
          <w:rFonts w:ascii="Calibri" w:hAnsi="Calibri"/>
        </w:rPr>
        <w:t>Yeni ürün, mevcut proses, transfer, yeniden işlem/dış proses ve değişikliklerde uygulanır. Proses sahibi analizin teknik içeriğinden; Kalite yöntem/kanıt ve aksiyon takibinden sorumludur. Üretim, Bakım, Lojistik ve ilgili uzmanlar analize katılır.</w:t>
      </w:r>
    </w:p>
    <w:p>
      <w:pPr>
        <w:pStyle w:val="Heading1"/>
      </w:pPr>
      <w:r>
        <w:rPr>
          <w:rFonts w:ascii="Calibri" w:hAnsi="Calibri"/>
        </w:rPr>
        <w:t>1. Planlama ve analiz</w:t>
      </w:r>
    </w:p>
    <w:p>
      <w:r>
        <w:rPr>
          <w:rFonts w:ascii="Calibri" w:hAnsi="Calibri"/>
        </w:rPr>
        <w:t>Kapsam, ürün/proses revizyonu, proses akışı, ekip ve yöntem kaynağı belirlenir. AIAG-VDA yöntemi seçilmişse yedi adım izlenir: planlama/hazırlık, yapı, fonksiyon, hata, risk analizi, optimizasyon ve sonuçların dokümantasyonu.</w:t>
      </w:r>
    </w:p>
    <w:p>
      <w:r>
        <w:rPr>
          <w:rFonts w:ascii="Calibri" w:hAnsi="Calibri"/>
        </w:rPr>
        <w:t>Hata etkisi–modu–nedeni teknik olarak kurulur. Müşteri/araç/kullanıcı ve sonraki operasyon etkileri; özel karakteristikler, malzeme, insan, ekipman, yöntem, çevre ve dış prosesler değerlendirilir. Mevcut önleme ve saptama kontrolleri ayrı gösterilir.</w:t>
      </w:r>
    </w:p>
    <w:p>
      <w:pPr>
        <w:pStyle w:val="Heading1"/>
      </w:pPr>
      <w:r>
        <w:rPr>
          <w:rFonts w:ascii="Calibri" w:hAnsi="Calibri"/>
        </w:rPr>
        <w:t>2. Puanlama ve öncelik</w:t>
      </w:r>
    </w:p>
    <w:p>
      <w:r>
        <w:rPr>
          <w:rFonts w:ascii="Calibri" w:hAnsi="Calibri"/>
        </w:rPr>
        <w:t>S/O/D, geçerli kontrollü tablodan ve mevcut kontrol kanıtıyla değerlendirilir; kaynak no/revizyon analizde belirtilir. AP tam geçerli tablodan alınır; RPN eşiğinden türetilmez. Puanlama ve müşteri ek şartlarının kontrolü EKG-PRJ-KLV-02 ile yapılır.</w:t>
      </w:r>
    </w:p>
    <w:p>
      <w:r>
        <w:rPr>
          <w:rFonts w:ascii="Calibri" w:hAnsi="Calibri"/>
        </w:rPr>
        <w:t>Öncelik hata nedenini kaldırmaya veya önlemeye verilir; ardından saptama iyileştirilir. Şiddet, hata etkisi değişmeden azaltılmaz. AP düzeyi ürün uygunluk veya sevkiyat onayı değildir.</w:t>
      </w:r>
    </w:p>
    <w:p>
      <w:pPr>
        <w:pStyle w:val="Heading1"/>
      </w:pPr>
      <w:r>
        <w:rPr>
          <w:rFonts w:ascii="Calibri" w:hAnsi="Calibri"/>
        </w:rPr>
        <w:t>3. Aksiyon ve yeniden değerlendirme</w:t>
      </w:r>
    </w:p>
    <w:p>
      <w:r>
        <w:rPr>
          <w:rFonts w:ascii="Calibri" w:hAnsi="Calibri"/>
        </w:rPr>
        <w:t>EKG-PRJ-FRM-03 üzerinde Risk ID ile analiz, EKG-PRJ-LST-07 ile sorumlu/termin ve aksiyon izlenir. Hedef ve gerçekleşen puanlar ayrılır. Uygulama ve test kanıtı olmadan puan düşürülmez veya aksiyon kapatılmaz. Artık risk ve aksiyon alınmama gerekçesi, geçerli yöntemin ve müşteri şartının gerektirdiği yetkiyle karara bağlanır.</w:t>
      </w:r>
    </w:p>
    <w:p>
      <w:pPr>
        <w:pStyle w:val="Heading1"/>
      </w:pPr>
      <w:r>
        <w:rPr>
          <w:rFonts w:ascii="Calibri" w:hAnsi="Calibri"/>
        </w:rPr>
        <w:t>4. Sahada doğrulama</w:t>
      </w:r>
    </w:p>
    <w:p>
      <w:r>
        <w:rPr>
          <w:rFonts w:ascii="Calibri" w:hAnsi="Calibri"/>
        </w:rPr>
        <w:t>EKG-PRJ-TLM-02 uyarınca ekip gerçek akışı, çalışma koşullarını ve kontrolleri sahada doğrular. Kontrollü hata simülasyonu yalnız yetkili güvenli test planıyla; tanımlı test numunesi, fiziksel ayırma, izlenebilirlik ve çıkış mutabakatı sağlanarak yapılır. Operatör ve ilgili sorumlular bilgilendirilir; kişi güvenliğini sağlayan koruyucular ve kilitler devre dışı bırakılmaz.</w:t>
      </w:r>
    </w:p>
    <w:p>
      <w:r>
        <w:rPr>
          <w:rFonts w:ascii="Calibri" w:hAnsi="Calibri"/>
        </w:rPr>
        <w:t>Kontrol başarısızsa faaliyet durdurulur, son doğrulanmış uygun noktadan itibaren riskli ürün ayrılır ve Kaliteye bildirilir. Bulguya göre ilgili puan/gerekçe ve ürün sınırı yeniden değerlendirilir; O ve D otomatik birlikte değiştirilmez. Düzeltme sonrası kontrolün fonksiyonu ve normal koşula dönüş kaydedilir.</w:t>
      </w:r>
    </w:p>
    <w:p>
      <w:pPr>
        <w:pStyle w:val="Heading1"/>
      </w:pPr>
      <w:r>
        <w:rPr>
          <w:rFonts w:ascii="Calibri" w:hAnsi="Calibri"/>
        </w:rPr>
        <w:t>5. Güncelleme ve kayıt</w:t>
      </w:r>
    </w:p>
    <w:p>
      <w:r>
        <w:rPr>
          <w:rFonts w:ascii="Calibri" w:hAnsi="Calibri"/>
        </w:rPr>
        <w:t>Şikâyet, uygunsuzluk, değişiklik, test bulgusu veya yeni bilgi PFMEA gözden geçirmesini tetikler. Dönemsel gözden geçirme/saha sıklığı risk ve geçerli müşteri şartına göre belirlenir. Akış, PIS/PCP, kontrol planı, talimat ve tedarikçi gerekleri aynı değişiklik kapsamında güncellenir.</w:t>
      </w:r>
    </w:p>
    <w:p>
      <w:r>
        <w:rPr>
          <w:rFonts w:ascii="Calibri" w:hAnsi="Calibri"/>
        </w:rPr>
        <w:t>EKG-PRJ-FRM-30 gözden geçirme/kök neden, EKG-PRJ-FRM-31 öz değerlendirme ve EKG-PRJ-FRM-32 sentez için kullanılır. Kaynak revizyonları, puan gerekçeleri, ham test verileri, artık risk ve gerekli müşteri kararları doküman saklama planına göre korunur.</w:t>
      </w:r>
    </w:p>
    <w:sectPr w:rsidR="00FC693F" w:rsidRPr="0006063C" w:rsidSect="00034616">
      <w:headerReference w:type="even" r:id="rIdEKGKimlik"/>
      <w:headerReference w:type="first" r:id="rIdEKGKimlik"/>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 xml:space="preserve">Sayfa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3628"/>
      <w:gridCol w:w="6463"/>
    </w:tblGrid>
    <w:tr>
      <w:tc>
        <w:tcPr>
          <w:tcW w:type="dxa" w:w="5046"/>
        </w:tcPr>
        <w:p>
          <w:pPr>
            <w:spacing w:after="0"/>
          </w:pPr>
          <w:r>
            <w:drawing>
              <wp:inline xmlns:a="http://schemas.openxmlformats.org/drawingml/2006/main" xmlns:pic="http://schemas.openxmlformats.org/drawingml/2006/picture">
                <wp:extent cx="1296000" cy="448200"/>
                <wp:docPr id="1" name="Picture 1"/>
                <wp:cNvGraphicFramePr>
                  <a:graphicFrameLocks noChangeAspect="1"/>
                </wp:cNvGraphicFramePr>
                <a:graphic>
                  <a:graphicData uri="http://schemas.openxmlformats.org/drawingml/2006/picture">
                    <pic:pic>
                      <pic:nvPicPr>
                        <pic:cNvPr id="0" name="logo.png"/>
                        <pic:cNvPicPr/>
                      </pic:nvPicPr>
                      <pic:blipFill>
                        <a:blip r:embed="rId2"/>
                        <a:stretch>
                          <a:fillRect/>
                        </a:stretch>
                      </pic:blipFill>
                      <pic:spPr>
                        <a:xfrm>
                          <a:off x="0" y="0"/>
                          <a:ext cx="1296000" cy="448200"/>
                        </a:xfrm>
                        <a:prstGeom prst="rect"/>
                      </pic:spPr>
                    </pic:pic>
                  </a:graphicData>
                </a:graphic>
              </wp:inline>
            </w:drawing>
          </w:r>
        </w:p>
      </w:tc>
      <w:tc>
        <w:tcPr>
          <w:tcW w:type="dxa" w:w="5046"/>
        </w:tcPr>
        <w:p>
          <w:pPr>
            <w:spacing w:after="0"/>
            <w:jc w:val="right"/>
          </w:pPr>
          <w:r>
            <w:rPr>
              <w:rFonts w:ascii="Calibri" w:hAnsi="Calibri"/>
              <w:b/>
              <w:sz w:val="17"/>
            </w:rPr>
            <w:t>EKG-PRJ-PRS-02</w:t>
          </w:r>
          <w:r>
            <w:rPr>
              <w:rFonts w:ascii="Calibri" w:hAnsi="Calibri"/>
              <w:b w:val="0"/>
              <w:sz w:val="17"/>
            </w:rPr>
            <w:br/>
            <w:t>İlk yayın: 04.05.2026</w:t>
          </w:r>
          <w:r>
            <w:rPr>
              <w:rFonts w:ascii="Calibri" w:hAnsi="Calibri"/>
              <w:b w:val="0"/>
              <w:sz w:val="17"/>
            </w:rPr>
            <w:br/>
            <w:t>Revizyon tarihi: 19.10.2026</w:t>
          </w:r>
        </w:p>
      </w:tc>
    </w:tr>
  </w:tbl>
  <w:p>
    <w:pPr>
      <w:spacing w:after="0"/>
    </w:pPr>
  </w:p>
</w:hdr>
</file>

<file path=word/headerEKGKimlik.xml><?xml version="1.0" encoding="utf-8"?>
<w:hdr xmlns:w="http://schemas.openxmlformats.org/wordprocessingml/2006/main">
  <w:p>
    <w:pPr>
      <w:jc w:val="right"/>
      <w:spacing w:before="0" w:after="40"/>
    </w:pPr>
    <w:r>
      <w:rPr>
        <w:b/>
        <w:color w:val="18364A"/>
        <w:sz w:val="18"/>
      </w:rPr>
      <w:t>Doküman No: EKG-PRJ-PRS-02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8364A"/>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8364A"/>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836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Calibri" w:hAnsi="Calibri"/>
      <w:b/>
      <w:color w:val="18364A"/>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EKGKimlik" Type="http://schemas.openxmlformats.org/officeDocument/2006/relationships/header" Target="headerEKGKimlik.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PFMEA ve Risk Azaltma Prosedürü</dc:title>
  <dc:subject>EKG-PRJ-PRS-02</dc:subject>
  <dc:creator>Ekol Glass</dc:creator>
  <cp:keywords/>
  <dc:description>generated by python-docx</dc:description>
  <cp:lastModifiedBy>Ekol Glass</cp:lastModifiedBy>
  <cp:revision>1</cp:revision>
  <dcterms:created xsi:type="dcterms:W3CDTF">2026-05-04T09:00:00Z</dcterms:created>
  <dcterms:modified xsi:type="dcterms:W3CDTF">2026-10-19T09:00:00Z</dcterms:modified>
  <cp:category/>
</cp:coreProperties>
</file>