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EKGKimlik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pPr>
        <w:pStyle w:val="Title"/>
      </w:pPr>
      <w:r>
        <w:rPr>
          <w:rFonts w:ascii="Calibri" w:hAnsi="Calibri"/>
        </w:rPr>
        <w:t>Proses Bypass Kontrol Prosedürü</w:t>
      </w:r>
    </w:p>
    <w:p>
      <w:pPr>
        <w:pStyle w:val="para1"/>
      </w:pPr>
      <w:r>
        <w:rPr>
          <w:rFonts w:ascii="Calibri" w:hAnsi="Calibri"/>
        </w:rPr>
        <w:t>Proses Bypass ve Alternatif Kalite Kontrolü Prosedürü</w:t>
      </w:r>
    </w:p>
    <w:p>
      <w:r>
        <w:rPr>
          <w:rFonts w:ascii="Calibri" w:hAnsi="Calibri"/>
        </w:rPr>
        <w:t>Ürün/proses kalite kontrol yönteminin geçici alternatifle yürütülmesini düzenler. Acil durdurma, koruyucu, kişi güvenliği kilidi veya yasal emniyet fonksiyonunu devre dışı bırakmaya yetki vermez. Güvenli çalışamayan ekipman durdurulur; bakım ve iş güvenliği süreçleri uygulanır.</w:t>
      </w:r>
    </w:p>
    <w:p>
      <w:pPr>
        <w:pStyle w:val="para1"/>
      </w:pPr>
      <w:r>
        <w:rPr>
          <w:rFonts w:ascii="Calibri" w:hAnsi="Calibri"/>
        </w:rPr>
        <w:t>1. Talep ve risk değerlendirmesi</w:t>
      </w:r>
    </w:p>
    <w:p>
      <w:r>
        <w:rPr>
          <w:rFonts w:ascii="Calibri" w:hAnsi="Calibri"/>
        </w:rPr>
        <w:t>Proses Mühendisliği hangi kalite kontrolünün neden kullanılamadığını, etkilenen ürün/operasyonları ve süreyi değişiklik numarasıyla tanımlar. Kalite ve Üretim; PFMEA, özel karakteristik, ölçüm güvenilirliği, son uygun kontrol noktası ve şüpheli ürün sınırını değerlendirir. Kalıcı değişiklik bu prosedürle geçici bypass olarak yürütülmez.</w:t>
      </w:r>
    </w:p>
    <w:p>
      <w:pPr>
        <w:pStyle w:val="para1"/>
      </w:pPr>
      <w:r>
        <w:rPr>
          <w:rFonts w:ascii="Calibri" w:hAnsi="Calibri"/>
        </w:rPr>
        <w:t>2. Yetkilendirme</w:t>
      </w:r>
    </w:p>
    <w:p>
      <w:r>
        <w:rPr>
          <w:rFonts w:ascii="Calibri" w:hAnsi="Calibri"/>
        </w:rPr>
        <w:t>Alternatif yöntem, kabul ölçütü, cihaz/personel yetkinliği, örneklem/sıklık ve reaksiyon planı kullanımdan önce doğrulanır. Yeterli güvence sağlanamıyorsa üretim durur ve riskli ürün bloke edilir. Kalite, Proses ve Üretim yetkilileri kapsamı ve sınırları onaylar. Gerekli müşteri bildirimi/onayı güncel müşteri şartına göre tamamlanır; acil durum onayları kaldırmaz.</w:t>
      </w:r>
    </w:p>
    <w:p>
      <w:pPr>
        <w:pStyle w:val="para1"/>
      </w:pPr>
      <w:r>
        <w:rPr>
          <w:rFonts w:ascii="Calibri" w:hAnsi="Calibri"/>
        </w:rPr>
        <w:t>3. Geçici uygulama ve izleme</w:t>
      </w:r>
    </w:p>
    <w:p>
      <w:r>
        <w:rPr>
          <w:rFonts w:ascii="Calibri" w:hAnsi="Calibri"/>
        </w:rPr>
        <w:t>EKG-PRJ-FRM-29 üzerinde başlangıç, son geçerlilik/süre-miktar sınırı, lotlar, yetkililer ve müşteri karar referansı kaydedilir. İstasyonda geçici talimat ve aktif durum görünür tutulur. Ürün/lotlar ayrılır; kontrol sonuçları ve miktarlar izlenir. Vardiya devrinde aktif durum ve sınırlar kontrol edilir; iznin süresi dolunca otomatik uzatma yapılmaz.</w:t>
      </w:r>
    </w:p>
    <w:p>
      <w:pPr>
        <w:pStyle w:val="para1"/>
      </w:pPr>
      <w:r>
        <w:rPr>
          <w:rFonts w:ascii="Calibri" w:hAnsi="Calibri"/>
        </w:rPr>
        <w:t>4. Asıl prosese dönüş</w:t>
      </w:r>
    </w:p>
    <w:p>
      <w:r>
        <w:rPr>
          <w:rFonts w:ascii="Calibri" w:hAnsi="Calibri"/>
        </w:rPr>
        <w:t>Bakım/Proses asıl kontrolü yeniden devreye alır. Fonksiyon testi, gerekiyorsa MSA ve ürün/proses yeniden doğrulaması tamamlanır. Geçici ayar/talimat/kart kaldırılır; son geçici lot ve ilk normal lot kaydedilir. Kalite ve Proses test kanıtını değerlendirip dönüşü onaylar. Geçici dönemdeki riskli ürün sonuçlandırılmadan kayıt kapatılmaz.</w:t>
      </w:r>
    </w:p>
    <w:p>
      <w:pPr>
        <w:pStyle w:val="para1"/>
      </w:pPr>
      <w:r>
        <w:rPr>
          <w:rFonts w:ascii="Calibri" w:hAnsi="Calibri"/>
        </w:rPr>
        <w:t>5. Kayıtlar</w:t>
      </w:r>
    </w:p>
    <w:p>
      <w:r>
        <w:rPr>
          <w:rFonts w:ascii="Calibri" w:hAnsi="Calibri"/>
        </w:rPr>
        <w:t>Talep, PFMEA etkisi, izinler, geçici kontrol verisi, etkilenen lotlar, tamir/fonksiyon testi ve dönüş kararı aynı değişiklik numarasıyla saklanır. İlgili kayıtlar: EKG-PRJ-LST-06, EKG-PRJ-FRM-29 ve EKG-PRJ-FRM-33.</w:t>
      </w:r>
    </w:p>
    <w:sectPr>
      <w:headerReference w:type="even" r:id="rIdEKGKimlik"/>
      <w:headerReference w:type="first" r:id="rIdEKGKimlik"/>
      <w:headerReference w:type="default" r:id="rId8"/>
      <w:footerReference w:type="default" r:id="rId9"/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type w:val="continuous"/>
      <w:pgSz w:h="16839" w:w="11907"/>
      <w:pgMar w:left="1134" w:top="1134" w:right="1134" w:bottom="1134"/>
      <w:paperSrc w:first="0" w:other="0" a="0" b="0"/>
      <w:pgNumType w:fmt="decimal"/>
      <w:tmGutter w:val="1"/>
      <w:mirrorMargins w:val="0"/>
      <w:tmSection w:h="-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2"/>
    <w:family w:val="roman"/>
    <w:pitch w:val="default"/>
  </w:font>
  <w:font w:name="SimSun">
    <w:panose1 w:val="02010600030101010101"/>
    <w:charset w:val="00"/>
    <w:family w:val="auto"/>
    <w:pitch w:val="default"/>
  </w:font>
  <w:font w:name="Arial">
    <w:panose1 w:val="020B0604020202020204"/>
    <w:charset w:val="a2"/>
    <w:family w:val="swiss"/>
    <w:pitch w:val="default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sz w:val="16"/>
      </w:rPr>
      <w:t xml:space="preserve">Sayfa </w:t>
    </w:r>
    <w:fldSimple w:instr="PAGE"/>
    <w:r>
      <w:t xml:space="preserve"> /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3628"/>
      <w:gridCol w:w="6463"/>
    </w:tblGrid>
    <w:tr>
      <w:tc>
        <w:tcPr>
          <w:tcW w:type="dxa" w:w="5046"/>
        </w:tcPr>
        <w:p>
          <w:pPr>
            <w:spacing w:after="0"/>
          </w:pPr>
          <w:r>
            <w:drawing>
              <wp:inline xmlns:a="http://schemas.openxmlformats.org/drawingml/2006/main" xmlns:pic="http://schemas.openxmlformats.org/drawingml/2006/picture">
                <wp:extent cx="1296000" cy="4482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96000" cy="4482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046"/>
        </w:tcPr>
        <w:p>
          <w:pPr>
            <w:spacing w:after="0"/>
            <w:jc w:val="right"/>
          </w:pPr>
          <w:r>
            <w:rPr>
              <w:rFonts w:ascii="Calibri" w:hAnsi="Calibri"/>
              <w:b/>
              <w:sz w:val="17"/>
            </w:rPr>
            <w:t>EKG-URT-PRS-10</w:t>
          </w:r>
          <w:r>
            <w:rPr>
              <w:rFonts w:ascii="Calibri" w:hAnsi="Calibri"/>
              <w:b w:val="0"/>
              <w:sz w:val="17"/>
            </w:rPr>
            <w:br/>
            <w:t>İlk yayın: 04.05.2026</w:t>
          </w:r>
          <w:r>
            <w:rPr>
              <w:rFonts w:ascii="Calibri" w:hAnsi="Calibri"/>
              <w:b w:val="0"/>
              <w:sz w:val="17"/>
            </w:rPr>
            <w:br/>
            <w:t>Revizyon tarihi: 19.10.2026</w:t>
          </w:r>
        </w:p>
      </w:tc>
    </w:tr>
  </w:tbl>
  <w:p>
    <w:pPr>
      <w:spacing w:after="0"/>
    </w:pPr>
  </w:p>
</w:hdr>
</file>

<file path=word/headerEKGKimlik.xml><?xml version="1.0" encoding="utf-8"?>
<w:hdr xmlns:w="http://schemas.openxmlformats.org/wordprocessingml/2006/main">
  <w:p>
    <w:pPr>
      <w:jc w:val="right"/>
      <w:spacing w:before="0" w:after="40"/>
    </w:pPr>
    <w:r>
      <w:rPr>
        <w:b/>
        <w:color w:val="18364A"/>
        <w:sz w:val="18"/>
      </w:rPr>
      <w:t>Doküman No: EKG-URT-PRS-10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abstractNum w:abstractNumId="0">
    <w:multiLevelType w:val="hybridMultilevel"/>
    <w:tmNoNumList/>
    <w:lvl w:ilvl="0">
      <w:numFmt w:val="none"/>
      <w:lvlText w:val=""/>
      <w:lvlJc w:val="left"/>
      <w:pPr>
        <w:tabs>
          <w:tab w:val="num" w:pos="360"/>
        </w:tabs>
        <w:ind w:left="360" w:hanging="360"/>
      </w:pPr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1">
    <w:multiLevelType w:val="singleLevel"/>
    <w:name w:val="Bullet 1"/>
    <w:lvl w:ilvl="0">
      <w:numFmt w:val="bullet"/>
      <w:lvlText w:val=""/>
      <w:lvlJc w:val="left"/>
      <w:pPr>
        <w:tabs>
          <w:tab w:val="num" w:pos="283"/>
        </w:tabs>
        <w:ind w:left="283" w:hanging="283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view w:val="print"/>
  <w:defaultTabStop w:val="708"/>
  <w:autoHyphenation w:val="1"/>
  <w:doNotShadeFormData w:val="1"/>
  <w:captions>
    <w:caption w:name="Tablo" w:pos="below" w:numFmt="decimal"/>
    <w:caption w:name="Şekil" w:pos="below" w:numFmt="decimal"/>
    <w:caption w:name="Resim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suppressSpBfAfterPgBrk w:val="1"/>
    <w:compatSetting w:name="compatibilityMode" w:uri="http://schemas.microsoft.com/office/word" w:val="15"/>
  </w:compat>
  <w:shapeDefaults>
    <o:shapedefaults v:ext="edit" spidmax="1026"/>
    <o:shapelayout v:ext="edit">
      <o:rules v:ext="edit"/>
    </o:shapelayout>
  </w:shapeDefaults>
  <w:tmPrefOne w:val="16"/>
  <w:tmPrefTwo w:val="1"/>
  <w:tmFmtPref w:val="55090283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1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1"/>
  </w:tmReviewPr>
  <w:tmLastPos>
    <w:tmLastPosPage w:val="1"/>
    <w:tmLastPosSelect w:val="0"/>
    <w:tmLastPosFrameIdx w:val="0"/>
    <w:tmLastPosCaret>
      <w:tmLastPosPgfIdx w:val="26"/>
      <w:tmLastPosIdx w:val="105"/>
    </w:tmLastPosCaret>
    <w:tmLastPosAnchor>
      <w:tmLastPosPgfIdx w:val="0"/>
      <w:tmLastPosIdx w:val="0"/>
    </w:tmLastPosAnchor>
    <w:tmLastPosTblRect w:left="0" w:top="0" w:right="0" w:bottom="0"/>
  </w:tmLastPos>
  <w:tmAppRevision w:date="1792262434" w:val="1234" w:fileVer="342" w:fileVerOS="4"/>
  <w:guidesAndGrid showGuides="1" lockGuides="0" snapToGuides="1" snapToPageMargins="0" tolerance="8" gridDistanceHorizontal="283" gridDistanceVertical="283" showGrid="0" snapToGrid="0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SimSun" w:cs="Times New Roman"/>
        <w:kern w:val="1"/>
        <w:sz w:val="20"/>
        <w:szCs w:val="20"/>
        <w:lang w:val="tr-tr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  <w:pPr>
      <w:spacing w:after="100" w:line="252" w:lineRule="auto"/>
    </w:pPr>
    <w:rPr>
      <w:rFonts w:ascii="Calibri" w:hAnsi="Calibri"/>
      <w:sz w:val="21"/>
    </w:rPr>
  </w:style>
  <w:style w:type="paragraph" w:styleId="para1">
    <w:name w:val="heading 1"/>
    <w:qFormat/>
    <w:basedOn w:val="para0"/>
    <w:next w:val="para0"/>
    <w:pPr>
      <w:spacing w:before="180" w:after="80"/>
      <w:keepNext/>
      <w:outlineLvl w:val="0"/>
      <w:keepLines/>
    </w:pPr>
    <w:rPr>
      <w:rFonts w:ascii="Calibri" w:hAnsi="Calibri" w:cs="Arial"/>
      <w:b/>
      <w:bCs/>
      <w:color w:val="18364A"/>
      <w:sz w:val="24"/>
      <w:szCs w:val="36"/>
    </w:rPr>
    <w:key w:val="1073"/>
  </w:style>
  <w:style w:type="paragraph" w:styleId="para2">
    <w:name w:val="heading 2"/>
    <w:qFormat/>
    <w:basedOn w:val="para1"/>
    <w:next w:val="para0"/>
    <w:pPr>
      <w:keepNext/>
      <w:spacing w:before="180" w:after="80"/>
      <w:outlineLvl w:val="1"/>
    </w:pPr>
    <w:rPr>
      <w:rFonts w:ascii="Calibri" w:hAnsi="Calibri"/>
      <w:b/>
      <w:color w:val="18364A"/>
      <w:sz w:val="22"/>
      <w:szCs w:val="32"/>
    </w:rPr>
    <w:key w:val="1074"/>
  </w:style>
  <w:style w:type="paragraph" w:styleId="para3">
    <w:name w:val="heading 3"/>
    <w:qFormat/>
    <w:basedOn w:val="para2"/>
    <w:next w:val="para0"/>
    <w:pPr>
      <w:keepNext/>
      <w:spacing w:before="180" w:after="80"/>
      <w:outlineLvl w:val="2"/>
    </w:pPr>
    <w:rPr>
      <w:rFonts w:ascii="Calibri" w:hAnsi="Calibri"/>
      <w:b/>
      <w:color w:val="18364A"/>
      <w:sz w:val="21"/>
      <w:szCs w:val="28"/>
    </w:rPr>
    <w:key w:val="1075"/>
  </w:style>
  <w:style w:type="character" w:styleId="char0" w:default="1">
    <w:name w:val="Default Paragraph Font"/>
  </w:style>
  <w:style w:type="table" w:default="1" w:styleId="TableNormal">
    <w:name w:val="Normal tablo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itle">
    <w:name w:val="Title"/>
    <w:pPr>
      <w:keepNext/>
      <w:spacing w:before="180" w:after="80"/>
    </w:pPr>
    <w:rPr>
      <w:rFonts w:ascii="Calibri" w:hAnsi="Calibri"/>
      <w:b/>
      <w:color w:val="18364A"/>
      <w:sz w:val="32"/>
    </w:rPr>
  </w:style>
  <w:style w:type="paragraph" w:customStyle="1" w:styleId="ListBullet">
    <w:name w:val="List Bullet"/>
  </w:style>
  <w:style w:type="paragraph" w:customStyle="1" w:styleId="ListNumber">
    <w:name w:val="List Number"/>
  </w:style>
  <w:style w:type="table" w:customStyle="1" w:styleId="TableGrid">
    <w:name w:val="Table Gri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Times New Roman" w:hAnsi="Times New Roman" w:eastAsia="SimSun" w:cs="Times New Roman"/>
        <w:kern w:val="1"/>
        <w:sz w:val="20"/>
        <w:szCs w:val="20"/>
        <w:lang w:val="tr-tr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table" w:default="1" w:styleId="TableNormal">
    <w:name w:val="Normal tablo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07/relationships/stylesWithEffects" Target="stylesWithEffects.xml"/><Relationship Id="rId8" Type="http://schemas.openxmlformats.org/officeDocument/2006/relationships/header" Target="header1.xml"/><Relationship Id="rIdEKGKimlik" Type="http://schemas.openxmlformats.org/officeDocument/2006/relationships/header" Target="headerEKGKimlik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SimSun"/>
        <a:cs typeface="Arial"/>
      </a:majorFont>
      <a:minorFont>
        <a:latin typeface="Times New Roman"/>
        <a:ea typeface="SimSu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rev.1234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Proses Bypass Kontrol Prosedürü</dc:title>
  <dc:subject>EKG-URT-PRS-10</dc:subject>
  <dc:creator>Ekol Glass</dc:creator>
  <cp:keywords/>
  <dc:description/>
  <cp:lastModifiedBy>Ekol Glass</cp:lastModifiedBy>
  <cp:revision>1</cp:revision>
  <dcterms:created xsi:type="dcterms:W3CDTF">2026-05-04T09:00:00Z</dcterms:created>
  <dcterms:modified xsi:type="dcterms:W3CDTF">2026-10-19T09:00:00Z</dcterms:modified>
</cp:coreProperties>
</file>