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Hat Başı Malzeme Doğrulama Formu</w:t>
      </w:r>
    </w:p>
    <w:p>
      <w:r>
        <w:rPr>
          <w:rFonts w:ascii="Calibri" w:hAnsi="Calibri"/>
        </w:rPr>
        <w:t>Tarih / vardiya: __________    Hat / istasyon: __________    İş emri / ürün: __________</w:t>
      </w:r>
    </w:p>
    <w:p>
      <w:r>
        <w:rPr>
          <w:rFonts w:ascii="Calibri" w:hAnsi="Calibri"/>
        </w:rPr>
        <w:t>Vardiya başlangıcında, malzeme/lot değişiminde ve duruş sonrası gerekli yeniden başlatmada kontrol edilir. Kaynak: güncel ürün ağacı, iş talimatı ve PFEP.</w:t>
      </w:r>
    </w:p>
    <w:p>
      <w:pPr>
        <w:pStyle w:val="Heading1"/>
      </w:pPr>
      <w:r>
        <w:rPr>
          <w:rFonts w:ascii="Calibri" w:hAnsi="Calibri"/>
        </w:rPr>
        <w:t>1. Malzeme doğrulama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06"/>
        <w:gridCol w:w="2264"/>
        <w:gridCol w:w="1482"/>
        <w:gridCol w:w="3026"/>
        <w:gridCol w:w="2838"/>
        <w:gridCol w:w="2706"/>
      </w:tblGrid>
      <w:tr>
        <w:trPr>
          <w:tblHeader/>
          <w:cantSplit/>
        </w:trPr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Malzeme / parça kodu</w:t>
            </w:r>
          </w:p>
        </w:tc>
        <w:tc>
          <w:tcPr>
            <w:tcW w:type="dxa" w:w="226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Lot / revizyon</w:t>
            </w:r>
          </w:p>
        </w:tc>
        <w:tc>
          <w:tcPr>
            <w:tcW w:type="dxa" w:w="148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Miktar</w:t>
            </w:r>
          </w:p>
        </w:tc>
        <w:tc>
          <w:tcPr>
            <w:tcW w:type="dxa" w:w="302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Raf ömrü / kalite statüsü</w:t>
            </w:r>
          </w:p>
        </w:tc>
        <w:tc>
          <w:tcPr>
            <w:tcW w:type="dxa" w:w="28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İş emri / etiket uyumu</w:t>
            </w:r>
          </w:p>
        </w:tc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Kontrol eden / sonuç</w:t>
            </w:r>
          </w:p>
        </w:tc>
      </w:tr>
      <w:tr>
        <w:trPr>
          <w:cantSplit/>
        </w:trPr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6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8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2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6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8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2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6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8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2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6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8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2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6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8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2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6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8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2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3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2. Uygunsuzluk ve aksiyon</w:t>
      </w:r>
    </w:p>
    <w:p>
      <w:r>
        <w:rPr>
          <w:rFonts w:ascii="Calibri" w:hAnsi="Calibri"/>
        </w:rPr>
        <w:t>Yanlış, kimliği belirsiz, bloke veya süresi dolmuş malzeme kullanılmaz. Etkilenen malzeme ve son uygun kontrolden itibaren üretilen ürünler değerlendirilir.</w:t>
      </w:r>
    </w:p>
    <w:p>
      <w:r>
        <w:rPr>
          <w:rFonts w:ascii="Calibri" w:hAnsi="Calibri"/>
        </w:rPr>
        <w:t>Uygunsuzluk / etkilenen lot ve miktar: __________________________________________________</w:t>
      </w:r>
    </w:p>
    <w:p>
      <w:r>
        <w:rPr>
          <w:rFonts w:ascii="Calibri" w:hAnsi="Calibri"/>
        </w:rPr>
        <w:t>Alınan önlem / işlem kaydı / sorumlu: __________________________________________________</w:t>
      </w:r>
    </w:p>
    <w:p>
      <w:pPr>
        <w:pStyle w:val="Heading1"/>
      </w:pPr>
      <w:r>
        <w:rPr>
          <w:rFonts w:ascii="Calibri" w:hAnsi="Calibri"/>
        </w:rPr>
        <w:t>3. Kullanıma devam</w:t>
      </w:r>
    </w:p>
    <w:p>
      <w:r>
        <w:rPr>
          <w:rFonts w:ascii="Calibri" w:hAnsi="Calibri"/>
        </w:rPr>
        <w:t>Hattaki eski malzeme ve etiketler ayrılır; FIFO/FEFO ve onaylı stok limitleri korunur. Mühendislik değişikliği varsa ilgili değişiklik planının tanımlama şartları uygulanır.</w:t>
      </w:r>
    </w:p>
    <w:p>
      <w:r>
        <w:rPr>
          <w:rFonts w:ascii="Calibri" w:hAnsi="Calibri"/>
        </w:rPr>
        <w:t>Doğrulayan / tarih-saat: ____________________    Gerekliyse kalite kararı / referansı: ____________________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11395"/>
    </w:tblGrid>
    <w:tr>
      <w:tc>
        <w:tcPr>
          <w:tcW w:type="dxa" w:w="751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12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EKG-LOJ-FRM-05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EKG-LOJ-FRM-05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 Başı Malzeme Doğrulama Formu</dc:title>
  <dc:subject>EKG-LOJ-FRM-05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